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2315E" w14:textId="0B6BF028" w:rsidR="003540E5" w:rsidRPr="00347BC7" w:rsidRDefault="003540E5" w:rsidP="003540E5">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w:t>
      </w:r>
      <w:r>
        <w:rPr>
          <w:rFonts w:ascii="Arial" w:eastAsia="바탕" w:hAnsi="Arial" w:cs="Arial"/>
          <w:b/>
          <w:bCs/>
          <w:snapToGrid w:val="0"/>
          <w:kern w:val="2"/>
          <w:sz w:val="24"/>
          <w:szCs w:val="24"/>
        </w:rPr>
        <w:t>10</w:t>
      </w:r>
      <w:r w:rsidR="00A32D6B">
        <w:rPr>
          <w:rFonts w:ascii="Arial" w:eastAsia="바탕" w:hAnsi="Arial" w:cs="Arial"/>
          <w:b/>
          <w:bCs/>
          <w:snapToGrid w:val="0"/>
          <w:kern w:val="2"/>
          <w:sz w:val="24"/>
          <w:szCs w:val="24"/>
        </w:rPr>
        <w:t>1</w:t>
      </w:r>
      <w:r w:rsidR="00A32D6B">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t xml:space="preserve">           </w:t>
      </w:r>
      <w:r w:rsidRPr="00EF7339">
        <w:rPr>
          <w:rFonts w:ascii="Arial" w:eastAsia="바탕" w:hAnsi="Arial" w:cs="Arial"/>
          <w:b/>
          <w:bCs/>
          <w:snapToGrid w:val="0"/>
          <w:kern w:val="2"/>
          <w:sz w:val="24"/>
          <w:szCs w:val="24"/>
        </w:rPr>
        <w:t>R1-</w:t>
      </w:r>
      <w:r w:rsidRPr="00FF4267">
        <w:t xml:space="preserve"> </w:t>
      </w:r>
      <w:r w:rsidR="00596699" w:rsidRPr="00596699">
        <w:rPr>
          <w:rFonts w:ascii="Arial" w:eastAsia="바탕" w:hAnsi="Arial" w:cs="Arial"/>
          <w:b/>
          <w:bCs/>
          <w:snapToGrid w:val="0"/>
          <w:kern w:val="2"/>
          <w:sz w:val="24"/>
          <w:szCs w:val="24"/>
        </w:rPr>
        <w:t>200</w:t>
      </w:r>
      <w:r w:rsidR="008D4289">
        <w:rPr>
          <w:rFonts w:ascii="Arial" w:eastAsia="바탕" w:hAnsi="Arial" w:cs="Arial"/>
          <w:b/>
          <w:bCs/>
          <w:snapToGrid w:val="0"/>
          <w:kern w:val="2"/>
          <w:sz w:val="24"/>
          <w:szCs w:val="24"/>
        </w:rPr>
        <w:t>3656</w:t>
      </w:r>
    </w:p>
    <w:p w14:paraId="2D8C9B32" w14:textId="26E205AC" w:rsidR="003540E5" w:rsidRPr="00347BC7" w:rsidRDefault="003540E5" w:rsidP="003540E5">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rPr>
        <w:t xml:space="preserve">E-Meeting, </w:t>
      </w:r>
      <w:r w:rsidR="00A32D6B">
        <w:rPr>
          <w:rFonts w:ascii="Arial" w:eastAsia="바탕" w:hAnsi="Arial" w:cs="Arial"/>
          <w:b/>
          <w:bCs/>
          <w:snapToGrid w:val="0"/>
          <w:kern w:val="2"/>
          <w:sz w:val="24"/>
          <w:szCs w:val="24"/>
        </w:rPr>
        <w:t>May</w:t>
      </w:r>
      <w:r w:rsidRPr="007F6863">
        <w:rPr>
          <w:rFonts w:ascii="Arial" w:eastAsia="바탕" w:hAnsi="Arial" w:cs="Arial"/>
          <w:b/>
          <w:bCs/>
          <w:snapToGrid w:val="0"/>
          <w:kern w:val="2"/>
          <w:sz w:val="24"/>
          <w:szCs w:val="24"/>
        </w:rPr>
        <w:t xml:space="preserve"> </w:t>
      </w:r>
      <w:r>
        <w:rPr>
          <w:rFonts w:ascii="Arial" w:eastAsia="바탕" w:hAnsi="Arial" w:cs="Arial"/>
          <w:b/>
          <w:bCs/>
          <w:snapToGrid w:val="0"/>
          <w:kern w:val="2"/>
          <w:sz w:val="24"/>
          <w:szCs w:val="24"/>
        </w:rPr>
        <w:t>2</w:t>
      </w:r>
      <w:r w:rsidR="00A32D6B">
        <w:rPr>
          <w:rFonts w:ascii="Arial" w:eastAsia="바탕" w:hAnsi="Arial" w:cs="Arial"/>
          <w:b/>
          <w:bCs/>
          <w:snapToGrid w:val="0"/>
          <w:kern w:val="2"/>
          <w:sz w:val="24"/>
          <w:szCs w:val="24"/>
        </w:rPr>
        <w:t>5</w:t>
      </w:r>
      <w:r w:rsidRPr="007F6863">
        <w:rPr>
          <w:rFonts w:ascii="Arial" w:eastAsia="바탕" w:hAnsi="Arial" w:cs="Arial"/>
          <w:b/>
          <w:bCs/>
          <w:snapToGrid w:val="0"/>
          <w:kern w:val="2"/>
          <w:sz w:val="24"/>
          <w:szCs w:val="24"/>
        </w:rPr>
        <w:t xml:space="preserve">th – </w:t>
      </w:r>
      <w:r w:rsidR="00A32D6B">
        <w:rPr>
          <w:rFonts w:ascii="Arial" w:eastAsia="바탕" w:hAnsi="Arial" w:cs="Arial"/>
          <w:b/>
          <w:bCs/>
          <w:snapToGrid w:val="0"/>
          <w:kern w:val="2"/>
          <w:sz w:val="24"/>
          <w:szCs w:val="24"/>
        </w:rPr>
        <w:t>June 5</w:t>
      </w:r>
      <w:r>
        <w:rPr>
          <w:rFonts w:ascii="Arial" w:eastAsia="바탕" w:hAnsi="Arial" w:cs="Arial"/>
          <w:b/>
          <w:bCs/>
          <w:snapToGrid w:val="0"/>
          <w:kern w:val="2"/>
          <w:sz w:val="24"/>
          <w:szCs w:val="24"/>
        </w:rPr>
        <w:t>th</w:t>
      </w:r>
      <w:r w:rsidRPr="007F6863">
        <w:rPr>
          <w:rFonts w:ascii="Arial" w:eastAsia="바탕" w:hAnsi="Arial" w:cs="Arial"/>
          <w:b/>
          <w:bCs/>
          <w:snapToGrid w:val="0"/>
          <w:kern w:val="2"/>
          <w:sz w:val="24"/>
          <w:szCs w:val="24"/>
        </w:rPr>
        <w:t>, 20</w:t>
      </w:r>
      <w:r>
        <w:rPr>
          <w:rFonts w:ascii="Arial" w:eastAsia="바탕" w:hAnsi="Arial" w:cs="Arial"/>
          <w:b/>
          <w:bCs/>
          <w:snapToGrid w:val="0"/>
          <w:kern w:val="2"/>
          <w:sz w:val="24"/>
          <w:szCs w:val="24"/>
        </w:rPr>
        <w:t>20</w:t>
      </w:r>
    </w:p>
    <w:p w14:paraId="2BD4FE0B" w14:textId="0D8A00D4" w:rsidR="00B650A9" w:rsidRPr="00DC2F24" w:rsidRDefault="00154900" w:rsidP="00B650A9">
      <w:pPr>
        <w:wordWrap/>
        <w:adjustRightInd w:val="0"/>
        <w:snapToGrid w:val="0"/>
        <w:spacing w:line="360" w:lineRule="auto"/>
        <w:rPr>
          <w:rFonts w:ascii="Arial" w:hAnsi="Arial" w:cs="Arial"/>
          <w:snapToGrid w:val="0"/>
          <w:sz w:val="24"/>
        </w:rPr>
      </w:pPr>
      <w:r w:rsidRPr="00154900">
        <w:rPr>
          <w:rFonts w:ascii="Arial" w:eastAsia="굴림" w:hAnsi="Arial" w:cs="Arial"/>
          <w:b/>
          <w:snapToGrid w:val="0"/>
          <w:sz w:val="24"/>
          <w:szCs w:val="24"/>
        </w:rPr>
        <w:t>______________________________________________________________________</w:t>
      </w:r>
      <w:bookmarkEnd w:id="0"/>
      <w:bookmarkEnd w:id="1"/>
      <w:r w:rsidR="00B650A9" w:rsidRPr="00B650A9">
        <w:rPr>
          <w:rFonts w:ascii="Arial" w:hAnsi="Arial" w:cs="Arial"/>
          <w:b/>
          <w:snapToGrid w:val="0"/>
          <w:sz w:val="24"/>
        </w:rPr>
        <w:t xml:space="preserve"> </w:t>
      </w:r>
      <w:r w:rsidR="00B650A9" w:rsidRPr="00DC2F24">
        <w:rPr>
          <w:rFonts w:ascii="Arial" w:hAnsi="Arial" w:cs="Arial"/>
          <w:b/>
          <w:snapToGrid w:val="0"/>
          <w:sz w:val="24"/>
        </w:rPr>
        <w:t>Agenda item:</w:t>
      </w:r>
      <w:r w:rsidR="00B650A9" w:rsidRPr="00DC2F24">
        <w:rPr>
          <w:rFonts w:ascii="Arial" w:hAnsi="Arial" w:cs="Arial"/>
          <w:snapToGrid w:val="0"/>
          <w:sz w:val="24"/>
        </w:rPr>
        <w:t xml:space="preserve"> </w:t>
      </w:r>
      <w:r w:rsidR="00B650A9">
        <w:rPr>
          <w:rFonts w:ascii="Arial" w:hAnsi="Arial" w:cs="Arial"/>
          <w:snapToGrid w:val="0"/>
          <w:sz w:val="24"/>
        </w:rPr>
        <w:t>7</w:t>
      </w:r>
      <w:r w:rsidR="00B650A9" w:rsidRPr="001D2309">
        <w:rPr>
          <w:rFonts w:ascii="Arial" w:hAnsi="Arial" w:cs="Arial"/>
          <w:snapToGrid w:val="0"/>
          <w:sz w:val="24"/>
        </w:rPr>
        <w:t>.2.</w:t>
      </w:r>
      <w:r w:rsidR="00B650A9">
        <w:rPr>
          <w:rFonts w:ascii="Arial" w:hAnsi="Arial" w:cs="Arial"/>
          <w:snapToGrid w:val="0"/>
          <w:sz w:val="24"/>
        </w:rPr>
        <w:t>4</w:t>
      </w:r>
      <w:r w:rsidR="00B650A9" w:rsidRPr="001D2309">
        <w:rPr>
          <w:rFonts w:ascii="Arial" w:hAnsi="Arial" w:cs="Arial"/>
          <w:snapToGrid w:val="0"/>
          <w:sz w:val="24"/>
        </w:rPr>
        <w:t>.</w:t>
      </w:r>
      <w:r w:rsidR="004A22AA">
        <w:rPr>
          <w:rFonts w:ascii="Arial" w:hAnsi="Arial" w:cs="Arial"/>
          <w:snapToGrid w:val="0"/>
          <w:sz w:val="24"/>
        </w:rPr>
        <w:t>4</w:t>
      </w:r>
    </w:p>
    <w:p w14:paraId="2522B008" w14:textId="77777777" w:rsidR="00B650A9" w:rsidRPr="00DC2F24" w:rsidRDefault="00B650A9" w:rsidP="00B650A9">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3EC7FA0C" w14:textId="24FF16EE" w:rsidR="00B650A9" w:rsidRPr="00F519EE" w:rsidRDefault="00B650A9" w:rsidP="00B650A9">
      <w:pPr>
        <w:wordWrap/>
        <w:spacing w:line="360" w:lineRule="auto"/>
        <w:ind w:left="708" w:hangingChars="295" w:hanging="708"/>
        <w:rPr>
          <w:rFonts w:ascii="Arial" w:hAnsi="Arial" w:cs="Arial"/>
          <w:snapToGrid w:val="0"/>
          <w:sz w:val="24"/>
        </w:rPr>
      </w:pPr>
      <w:r w:rsidRPr="00DC2F24">
        <w:rPr>
          <w:rFonts w:ascii="Arial" w:hAnsi="Arial" w:cs="Arial"/>
          <w:b/>
          <w:snapToGrid w:val="0"/>
          <w:sz w:val="24"/>
        </w:rPr>
        <w:t xml:space="preserve">Title: </w:t>
      </w:r>
      <w:r w:rsidRPr="00F519EE">
        <w:rPr>
          <w:rFonts w:ascii="Arial" w:hAnsi="Arial" w:cs="Arial"/>
          <w:snapToGrid w:val="0"/>
          <w:sz w:val="24"/>
        </w:rPr>
        <w:t xml:space="preserve">Discussion on </w:t>
      </w:r>
      <w:r w:rsidR="003540E5">
        <w:rPr>
          <w:rFonts w:ascii="Arial" w:hAnsi="Arial" w:cs="Arial" w:hint="eastAsia"/>
          <w:snapToGrid w:val="0"/>
          <w:sz w:val="24"/>
        </w:rPr>
        <w:t xml:space="preserve">in-device coexistence between LTE and NR </w:t>
      </w:r>
      <w:proofErr w:type="spellStart"/>
      <w:r w:rsidR="003540E5">
        <w:rPr>
          <w:rFonts w:ascii="Arial" w:hAnsi="Arial" w:cs="Arial" w:hint="eastAsia"/>
          <w:snapToGrid w:val="0"/>
          <w:sz w:val="24"/>
        </w:rPr>
        <w:t>sidelinks</w:t>
      </w:r>
      <w:proofErr w:type="spellEnd"/>
    </w:p>
    <w:p w14:paraId="18D081B8" w14:textId="77777777" w:rsidR="00B650A9" w:rsidRPr="00DC2F24" w:rsidRDefault="00B650A9" w:rsidP="00B650A9">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p w14:paraId="32D36DE3" w14:textId="63EEB808" w:rsidR="00154900" w:rsidRPr="00154900" w:rsidRDefault="00154900" w:rsidP="00504945">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48738DF2"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3540E5">
        <w:rPr>
          <w:rFonts w:ascii="Calibri" w:eastAsia="바탕" w:hAnsi="Calibri" w:cs="Times New Roman"/>
          <w:kern w:val="2"/>
          <w:sz w:val="22"/>
          <w:szCs w:val="22"/>
        </w:rPr>
        <w:t>99</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54058DF7" w14:textId="77777777" w:rsidR="003540E5" w:rsidRPr="003540E5" w:rsidRDefault="003540E5" w:rsidP="003540E5">
            <w:pPr>
              <w:wordWrap/>
              <w:autoSpaceDE/>
              <w:autoSpaceDN/>
              <w:ind w:left="1440" w:hanging="1440"/>
              <w:jc w:val="left"/>
              <w:rPr>
                <w:rFonts w:ascii="Calibri" w:eastAsia="바탕" w:hAnsi="Calibri" w:cs="Calibri"/>
                <w:i/>
                <w:sz w:val="22"/>
                <w:lang w:val="en-GB" w:eastAsia="x-none"/>
              </w:rPr>
            </w:pPr>
            <w:r w:rsidRPr="003540E5">
              <w:rPr>
                <w:rFonts w:ascii="Calibri" w:eastAsia="바탕" w:hAnsi="Calibri" w:cs="Calibri"/>
                <w:i/>
                <w:sz w:val="22"/>
                <w:highlight w:val="green"/>
                <w:lang w:val="en-GB" w:eastAsia="x-none"/>
              </w:rPr>
              <w:t>Agreements</w:t>
            </w:r>
            <w:r w:rsidRPr="003540E5">
              <w:rPr>
                <w:rFonts w:ascii="Calibri" w:eastAsia="바탕" w:hAnsi="Calibri" w:cs="Calibri"/>
                <w:i/>
                <w:sz w:val="22"/>
                <w:lang w:val="en-GB" w:eastAsia="x-none"/>
              </w:rPr>
              <w:t>:</w:t>
            </w:r>
          </w:p>
          <w:p w14:paraId="742424A7" w14:textId="77777777" w:rsidR="003540E5" w:rsidRPr="003540E5" w:rsidRDefault="003540E5" w:rsidP="003540E5">
            <w:pPr>
              <w:numPr>
                <w:ilvl w:val="0"/>
                <w:numId w:val="30"/>
              </w:numPr>
              <w:wordWrap/>
              <w:autoSpaceDE/>
              <w:autoSpaceDN/>
              <w:spacing w:after="180"/>
              <w:contextualSpacing/>
              <w:jc w:val="left"/>
              <w:rPr>
                <w:rFonts w:ascii="Calibri" w:eastAsia="바탕" w:hAnsi="Calibri" w:cs="Calibri"/>
                <w:i/>
                <w:sz w:val="22"/>
                <w:lang w:val="en-GB" w:eastAsia="x-none"/>
              </w:rPr>
            </w:pPr>
            <w:r w:rsidRPr="003540E5">
              <w:rPr>
                <w:rFonts w:ascii="Calibri" w:eastAsia="바탕" w:hAnsi="Calibri" w:cs="Calibri"/>
                <w:i/>
                <w:sz w:val="22"/>
                <w:lang w:val="en-GB" w:eastAsia="x-none"/>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299F1866" w14:textId="77777777" w:rsidR="003540E5" w:rsidRPr="003540E5" w:rsidRDefault="003540E5" w:rsidP="003540E5">
            <w:pPr>
              <w:wordWrap/>
              <w:autoSpaceDE/>
              <w:autoSpaceDN/>
              <w:spacing w:after="180"/>
              <w:ind w:left="720"/>
              <w:contextualSpacing/>
              <w:jc w:val="left"/>
              <w:rPr>
                <w:rFonts w:ascii="Calibri" w:eastAsia="바탕" w:hAnsi="Calibri" w:cs="Calibri"/>
                <w:i/>
                <w:sz w:val="22"/>
                <w:lang w:val="en-GB" w:eastAsia="x-none"/>
              </w:rPr>
            </w:pPr>
          </w:p>
          <w:p w14:paraId="5777D31A" w14:textId="77777777" w:rsidR="003540E5" w:rsidRPr="003540E5" w:rsidRDefault="003540E5" w:rsidP="003540E5">
            <w:pPr>
              <w:wordWrap/>
              <w:autoSpaceDE/>
              <w:autoSpaceDN/>
              <w:ind w:left="1440" w:hanging="1440"/>
              <w:jc w:val="left"/>
              <w:rPr>
                <w:rFonts w:ascii="Calibri" w:eastAsia="바탕" w:hAnsi="Calibri" w:cs="Calibri"/>
                <w:i/>
                <w:sz w:val="22"/>
                <w:lang w:val="en-GB" w:eastAsia="x-none"/>
              </w:rPr>
            </w:pPr>
            <w:r w:rsidRPr="003540E5">
              <w:rPr>
                <w:rFonts w:ascii="Calibri" w:eastAsia="바탕" w:hAnsi="Calibri" w:cs="Calibri"/>
                <w:i/>
                <w:sz w:val="22"/>
                <w:highlight w:val="green"/>
                <w:lang w:val="en-GB" w:eastAsia="x-none"/>
              </w:rPr>
              <w:t>Agreements</w:t>
            </w:r>
            <w:r w:rsidRPr="003540E5">
              <w:rPr>
                <w:rFonts w:ascii="Calibri" w:eastAsia="바탕" w:hAnsi="Calibri" w:cs="Calibri"/>
                <w:i/>
                <w:sz w:val="22"/>
                <w:lang w:val="en-GB" w:eastAsia="x-none"/>
              </w:rPr>
              <w:t>:</w:t>
            </w:r>
          </w:p>
          <w:p w14:paraId="2AEA6251" w14:textId="77777777" w:rsidR="003540E5" w:rsidRPr="003540E5" w:rsidRDefault="003540E5" w:rsidP="003540E5">
            <w:pPr>
              <w:numPr>
                <w:ilvl w:val="0"/>
                <w:numId w:val="31"/>
              </w:numPr>
              <w:wordWrap/>
              <w:autoSpaceDE/>
              <w:autoSpaceDN/>
              <w:spacing w:after="180"/>
              <w:contextualSpacing/>
              <w:jc w:val="left"/>
              <w:rPr>
                <w:rFonts w:ascii="Calibri" w:eastAsia="바탕" w:hAnsi="Calibri" w:cs="Calibri"/>
                <w:i/>
                <w:sz w:val="22"/>
                <w:lang w:eastAsia="x-none"/>
              </w:rPr>
            </w:pPr>
            <w:r w:rsidRPr="003540E5">
              <w:rPr>
                <w:rFonts w:ascii="Calibri" w:eastAsia="바탕" w:hAnsi="Calibri" w:cs="Calibri"/>
                <w:i/>
                <w:sz w:val="22"/>
                <w:lang w:eastAsia="x-none"/>
              </w:rPr>
              <w:t>In-device coexistence conflicts for network-controlled modes are addressed in the same way as for UE-autonomous modes</w:t>
            </w:r>
          </w:p>
          <w:p w14:paraId="7CCA770B" w14:textId="77777777" w:rsidR="003540E5" w:rsidRPr="003540E5" w:rsidRDefault="003540E5" w:rsidP="003540E5">
            <w:pPr>
              <w:numPr>
                <w:ilvl w:val="1"/>
                <w:numId w:val="31"/>
              </w:numPr>
              <w:wordWrap/>
              <w:autoSpaceDE/>
              <w:autoSpaceDN/>
              <w:spacing w:after="180"/>
              <w:contextualSpacing/>
              <w:jc w:val="left"/>
              <w:rPr>
                <w:rFonts w:ascii="Calibri" w:eastAsia="바탕" w:hAnsi="Calibri" w:cs="Calibri"/>
                <w:i/>
                <w:sz w:val="22"/>
                <w:lang w:eastAsia="x-none"/>
              </w:rPr>
            </w:pPr>
            <w:r w:rsidRPr="003540E5">
              <w:rPr>
                <w:rFonts w:ascii="Calibri" w:eastAsia="바탕" w:hAnsi="Calibri" w:cs="Calibri"/>
                <w:i/>
                <w:sz w:val="22"/>
                <w:lang w:eastAsia="x-none"/>
              </w:rPr>
              <w:t>No addition spec is expected</w:t>
            </w:r>
          </w:p>
          <w:p w14:paraId="07C75DE3" w14:textId="74339B3C" w:rsidR="009B7B5D" w:rsidRPr="009B7B5D" w:rsidRDefault="009B7B5D" w:rsidP="009B7B5D">
            <w:pPr>
              <w:widowControl/>
              <w:wordWrap/>
              <w:autoSpaceDE/>
              <w:autoSpaceDN/>
              <w:jc w:val="left"/>
              <w:rPr>
                <w:rFonts w:ascii="Times New Roman" w:hAnsi="Times New Roman"/>
                <w:bCs/>
                <w:i/>
                <w:iCs/>
              </w:rPr>
            </w:pPr>
          </w:p>
        </w:tc>
      </w:tr>
    </w:tbl>
    <w:p w14:paraId="51295D6A" w14:textId="1388F46C"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r w:rsidR="003540E5">
        <w:rPr>
          <w:rFonts w:ascii="Calibri" w:eastAsia="바탕" w:hAnsi="Calibri" w:cs="Times New Roman"/>
          <w:kern w:val="2"/>
          <w:sz w:val="22"/>
          <w:szCs w:val="22"/>
        </w:rPr>
        <w:t xml:space="preserve">in-device coexistence between LTE and NR </w:t>
      </w:r>
      <w:proofErr w:type="spellStart"/>
      <w:r w:rsidR="003540E5">
        <w:rPr>
          <w:rFonts w:ascii="Calibri" w:eastAsia="바탕" w:hAnsi="Calibri" w:cs="Times New Roman"/>
          <w:kern w:val="2"/>
          <w:sz w:val="22"/>
          <w:szCs w:val="22"/>
        </w:rPr>
        <w:t>sidelinks</w:t>
      </w:r>
      <w:proofErr w:type="spellEnd"/>
      <w:r w:rsidRPr="00154900">
        <w:rPr>
          <w:rFonts w:ascii="Calibri" w:eastAsia="바탕" w:hAnsi="Calibri" w:cs="Times New Roman"/>
          <w:kern w:val="2"/>
          <w:sz w:val="22"/>
          <w:szCs w:val="22"/>
        </w:rPr>
        <w:t xml:space="preserve">.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5530941D" w14:textId="76613105" w:rsidR="00A03377" w:rsidRDefault="00A03377" w:rsidP="00491DB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The following agreement was made in RAN1#94bis on the NR V2 synchronization operation.</w:t>
      </w:r>
    </w:p>
    <w:p w14:paraId="525C36C1" w14:textId="4EFDDBDA" w:rsidR="00A03377" w:rsidRPr="00A03377" w:rsidRDefault="00A03377" w:rsidP="00A03377">
      <w:pPr>
        <w:wordWrap/>
        <w:autoSpaceDE/>
        <w:autoSpaceDN/>
        <w:jc w:val="left"/>
        <w:rPr>
          <w:rFonts w:ascii="Times New Roman" w:hAnsi="Times New Roman" w:cs="Times New Roman"/>
          <w:sz w:val="22"/>
          <w:szCs w:val="22"/>
        </w:rPr>
      </w:pPr>
      <w:r w:rsidRPr="00A03377">
        <w:rPr>
          <w:rFonts w:ascii="Times New Roman" w:hAnsi="Times New Roman" w:cs="Times New Roman"/>
          <w:i/>
          <w:iCs/>
          <w:color w:val="000000"/>
          <w:shd w:val="clear" w:color="auto" w:fill="00FF00"/>
        </w:rPr>
        <w:t>Agreements</w:t>
      </w:r>
    </w:p>
    <w:p w14:paraId="36AD6BBF" w14:textId="77777777" w:rsidR="00A03377" w:rsidRPr="00A03377" w:rsidRDefault="00A03377" w:rsidP="00A03377">
      <w:pPr>
        <w:numPr>
          <w:ilvl w:val="0"/>
          <w:numId w:val="36"/>
        </w:numPr>
        <w:wordWrap/>
        <w:autoSpaceDE/>
        <w:autoSpaceDN/>
        <w:jc w:val="left"/>
        <w:rPr>
          <w:rFonts w:ascii="Times New Roman" w:eastAsia="Times New Roman" w:hAnsi="Times New Roman" w:cs="Times New Roman"/>
          <w:sz w:val="22"/>
          <w:szCs w:val="22"/>
        </w:rPr>
      </w:pPr>
      <w:r w:rsidRPr="00A03377">
        <w:rPr>
          <w:rFonts w:ascii="Times New Roman" w:eastAsia="SimSun" w:hAnsi="Times New Roman" w:cs="Times New Roman"/>
          <w:i/>
          <w:iCs/>
        </w:rPr>
        <w:t xml:space="preserve">NR V2X </w:t>
      </w:r>
      <w:proofErr w:type="spellStart"/>
      <w:r w:rsidRPr="00A03377">
        <w:rPr>
          <w:rFonts w:ascii="Times New Roman" w:eastAsia="SimSun" w:hAnsi="Times New Roman" w:cs="Times New Roman"/>
          <w:i/>
          <w:iCs/>
        </w:rPr>
        <w:t>sidelink</w:t>
      </w:r>
      <w:proofErr w:type="spellEnd"/>
      <w:r w:rsidRPr="00A03377">
        <w:rPr>
          <w:rFonts w:ascii="Times New Roman" w:eastAsia="SimSun" w:hAnsi="Times New Roman" w:cs="Times New Roman"/>
          <w:i/>
          <w:iCs/>
        </w:rPr>
        <w:t xml:space="preserve"> operation includes the following cases:</w:t>
      </w:r>
      <w:r w:rsidRPr="00A03377">
        <w:rPr>
          <w:rFonts w:ascii="Times New Roman" w:eastAsia="Times New Roman" w:hAnsi="Times New Roman" w:cs="Times New Roman"/>
          <w:sz w:val="22"/>
          <w:szCs w:val="22"/>
        </w:rPr>
        <w:t xml:space="preserve"> </w:t>
      </w:r>
    </w:p>
    <w:p w14:paraId="360B4BDD" w14:textId="77777777" w:rsidR="00A03377" w:rsidRPr="00A03377" w:rsidRDefault="00A03377" w:rsidP="00A03377">
      <w:pPr>
        <w:numPr>
          <w:ilvl w:val="1"/>
          <w:numId w:val="36"/>
        </w:numPr>
        <w:wordWrap/>
        <w:autoSpaceDE/>
        <w:autoSpaceDN/>
        <w:jc w:val="left"/>
        <w:rPr>
          <w:rFonts w:ascii="Times New Roman" w:eastAsia="Times New Roman" w:hAnsi="Times New Roman" w:cs="Times New Roman"/>
          <w:sz w:val="22"/>
          <w:szCs w:val="22"/>
        </w:rPr>
      </w:pPr>
      <w:r w:rsidRPr="00D03628">
        <w:rPr>
          <w:rFonts w:ascii="Times New Roman" w:eastAsia="Times New Roman" w:hAnsi="Times New Roman" w:cs="Times New Roman"/>
          <w:i/>
          <w:iCs/>
          <w:color w:val="000000"/>
          <w:highlight w:val="yellow"/>
          <w:shd w:val="clear" w:color="auto" w:fill="00FFFF"/>
        </w:rPr>
        <w:t xml:space="preserve">NR V2X </w:t>
      </w:r>
      <w:proofErr w:type="spellStart"/>
      <w:r w:rsidRPr="00D03628">
        <w:rPr>
          <w:rFonts w:ascii="Times New Roman" w:eastAsia="Times New Roman" w:hAnsi="Times New Roman" w:cs="Times New Roman"/>
          <w:i/>
          <w:iCs/>
          <w:color w:val="000000"/>
          <w:highlight w:val="yellow"/>
          <w:shd w:val="clear" w:color="auto" w:fill="00FFFF"/>
        </w:rPr>
        <w:t>sidelink</w:t>
      </w:r>
      <w:proofErr w:type="spellEnd"/>
      <w:r w:rsidRPr="00D03628">
        <w:rPr>
          <w:rFonts w:ascii="Times New Roman" w:eastAsia="Times New Roman" w:hAnsi="Times New Roman" w:cs="Times New Roman"/>
          <w:i/>
          <w:iCs/>
          <w:color w:val="000000"/>
          <w:highlight w:val="yellow"/>
          <w:shd w:val="clear" w:color="auto" w:fill="00FFFF"/>
        </w:rPr>
        <w:t xml:space="preserve"> is synchronized with LTE V2X </w:t>
      </w:r>
      <w:proofErr w:type="spellStart"/>
      <w:r w:rsidRPr="00D03628">
        <w:rPr>
          <w:rFonts w:ascii="Times New Roman" w:eastAsia="Times New Roman" w:hAnsi="Times New Roman" w:cs="Times New Roman"/>
          <w:i/>
          <w:iCs/>
          <w:color w:val="000000"/>
          <w:highlight w:val="yellow"/>
          <w:shd w:val="clear" w:color="auto" w:fill="00FFFF"/>
        </w:rPr>
        <w:t>sidelink</w:t>
      </w:r>
      <w:proofErr w:type="spellEnd"/>
      <w:r w:rsidRPr="00A03377">
        <w:rPr>
          <w:rFonts w:ascii="Times New Roman" w:eastAsia="Times New Roman" w:hAnsi="Times New Roman" w:cs="Times New Roman"/>
          <w:sz w:val="22"/>
          <w:szCs w:val="22"/>
        </w:rPr>
        <w:t xml:space="preserve"> </w:t>
      </w:r>
    </w:p>
    <w:p w14:paraId="6A6A3014" w14:textId="77777777" w:rsidR="00A03377" w:rsidRPr="00A03377" w:rsidRDefault="00A03377" w:rsidP="00A03377">
      <w:pPr>
        <w:numPr>
          <w:ilvl w:val="1"/>
          <w:numId w:val="36"/>
        </w:numPr>
        <w:wordWrap/>
        <w:autoSpaceDE/>
        <w:autoSpaceDN/>
        <w:jc w:val="left"/>
        <w:rPr>
          <w:rFonts w:ascii="Times New Roman" w:eastAsia="Times New Roman" w:hAnsi="Times New Roman" w:cs="Times New Roman"/>
          <w:sz w:val="22"/>
          <w:szCs w:val="22"/>
        </w:rPr>
      </w:pPr>
      <w:r w:rsidRPr="00A03377">
        <w:rPr>
          <w:rFonts w:ascii="Times New Roman" w:eastAsia="Times New Roman" w:hAnsi="Times New Roman" w:cs="Times New Roman"/>
          <w:i/>
          <w:iCs/>
        </w:rPr>
        <w:t xml:space="preserve">NR V2X </w:t>
      </w:r>
      <w:proofErr w:type="spellStart"/>
      <w:r w:rsidRPr="00A03377">
        <w:rPr>
          <w:rFonts w:ascii="Times New Roman" w:eastAsia="Times New Roman" w:hAnsi="Times New Roman" w:cs="Times New Roman"/>
          <w:i/>
          <w:iCs/>
        </w:rPr>
        <w:t>sidelink</w:t>
      </w:r>
      <w:proofErr w:type="spellEnd"/>
      <w:r w:rsidRPr="00A03377">
        <w:rPr>
          <w:rFonts w:ascii="Times New Roman" w:eastAsia="Times New Roman" w:hAnsi="Times New Roman" w:cs="Times New Roman"/>
          <w:i/>
          <w:iCs/>
        </w:rPr>
        <w:t xml:space="preserve"> synchronization procedure operates independently to the LTE V2X </w:t>
      </w:r>
      <w:proofErr w:type="spellStart"/>
      <w:r w:rsidRPr="00A03377">
        <w:rPr>
          <w:rFonts w:ascii="Times New Roman" w:eastAsia="Times New Roman" w:hAnsi="Times New Roman" w:cs="Times New Roman"/>
          <w:i/>
          <w:iCs/>
        </w:rPr>
        <w:t>sidelink</w:t>
      </w:r>
      <w:proofErr w:type="spellEnd"/>
      <w:r w:rsidRPr="00A03377">
        <w:rPr>
          <w:rFonts w:ascii="Times New Roman" w:eastAsia="Times New Roman" w:hAnsi="Times New Roman" w:cs="Times New Roman"/>
          <w:i/>
          <w:iCs/>
        </w:rPr>
        <w:t xml:space="preserve"> synchronization procedure</w:t>
      </w:r>
    </w:p>
    <w:p w14:paraId="62E01397" w14:textId="1324D2B9" w:rsidR="00491DBE" w:rsidRPr="00E80D1C" w:rsidRDefault="00E80D1C" w:rsidP="00A03377">
      <w:pPr>
        <w:spacing w:before="100" w:beforeAutospacing="1" w:after="120" w:line="264" w:lineRule="auto"/>
        <w:rPr>
          <w:rFonts w:ascii="Calibri" w:eastAsiaTheme="minorEastAsia" w:hAnsi="Calibri" w:cs="Calibri"/>
          <w:sz w:val="22"/>
        </w:rPr>
      </w:pPr>
      <w:r w:rsidRPr="00E80D1C">
        <w:rPr>
          <w:rFonts w:ascii="Calibri" w:eastAsiaTheme="minorEastAsia" w:hAnsi="Calibri" w:cs="Calibri"/>
          <w:sz w:val="22"/>
        </w:rPr>
        <w:t>S</w:t>
      </w:r>
      <w:r w:rsidRPr="00E80D1C">
        <w:rPr>
          <w:rFonts w:ascii="Calibri" w:eastAsiaTheme="minorEastAsia" w:hAnsi="Calibri" w:cs="Calibri" w:hint="eastAsia"/>
          <w:sz w:val="22"/>
        </w:rPr>
        <w:t xml:space="preserve">ince the above agreement was made, the first sub-bullet of the agreement has been </w:t>
      </w:r>
      <w:r w:rsidRPr="00E80D1C">
        <w:rPr>
          <w:rFonts w:ascii="Calibri" w:eastAsiaTheme="minorEastAsia" w:hAnsi="Calibri" w:cs="Calibri"/>
          <w:sz w:val="22"/>
        </w:rPr>
        <w:t>specifi</w:t>
      </w:r>
      <w:r w:rsidRPr="00E80D1C">
        <w:rPr>
          <w:rFonts w:ascii="Calibri" w:eastAsiaTheme="minorEastAsia" w:hAnsi="Calibri" w:cs="Calibri" w:hint="eastAsia"/>
          <w:sz w:val="22"/>
        </w:rPr>
        <w:t>ed</w:t>
      </w:r>
      <w:r w:rsidRPr="00E80D1C">
        <w:rPr>
          <w:rFonts w:ascii="Calibri" w:eastAsiaTheme="minorEastAsia" w:hAnsi="Calibri" w:cs="Calibri"/>
          <w:sz w:val="22"/>
        </w:rPr>
        <w:t>, but there was no discussion to specify the second sub-bullet. There are some agreements made in couple of RAN1 meetings regarding the second sub-bullet point on the in-device coexistence operation.</w:t>
      </w:r>
    </w:p>
    <w:p w14:paraId="31F89588" w14:textId="77777777" w:rsidR="007341AD" w:rsidRPr="00A03377" w:rsidRDefault="007341AD" w:rsidP="007341AD">
      <w:pPr>
        <w:rPr>
          <w:rFonts w:ascii="Times New Roman" w:hAnsi="Times New Roman"/>
          <w:i/>
          <w:highlight w:val="green"/>
          <w:lang w:eastAsia="x-none"/>
        </w:rPr>
      </w:pPr>
    </w:p>
    <w:p w14:paraId="288D59B3" w14:textId="485106CF" w:rsidR="007341AD" w:rsidRPr="00860CB6" w:rsidRDefault="007341AD" w:rsidP="007341AD">
      <w:pPr>
        <w:rPr>
          <w:rFonts w:ascii="Times New Roman" w:hAnsi="Times New Roman" w:cs="Times New Roman"/>
          <w:b/>
          <w:i/>
          <w:lang w:eastAsia="x-none"/>
        </w:rPr>
      </w:pPr>
      <w:r w:rsidRPr="00860CB6">
        <w:rPr>
          <w:rFonts w:ascii="Times New Roman" w:hAnsi="Times New Roman" w:cs="Times New Roman"/>
          <w:i/>
          <w:highlight w:val="green"/>
          <w:lang w:eastAsia="x-none"/>
        </w:rPr>
        <w:t>Agreements</w:t>
      </w:r>
      <w:r w:rsidR="00A03377" w:rsidRPr="00860CB6">
        <w:rPr>
          <w:rFonts w:ascii="Times New Roman" w:hAnsi="Times New Roman" w:cs="Times New Roman"/>
          <w:i/>
          <w:lang w:eastAsia="x-none"/>
        </w:rPr>
        <w:t xml:space="preserve"> (RAN1 AH#1901)</w:t>
      </w:r>
      <w:r w:rsidRPr="00860CB6">
        <w:rPr>
          <w:rFonts w:ascii="Times New Roman" w:hAnsi="Times New Roman" w:cs="Times New Roman"/>
          <w:b/>
          <w:i/>
          <w:lang w:eastAsia="x-none"/>
        </w:rPr>
        <w:t>:</w:t>
      </w:r>
    </w:p>
    <w:p w14:paraId="51B6F2F4" w14:textId="77777777" w:rsidR="007341AD" w:rsidRPr="00860CB6" w:rsidRDefault="007341AD" w:rsidP="007341AD">
      <w:pPr>
        <w:pStyle w:val="af4"/>
        <w:widowControl/>
        <w:numPr>
          <w:ilvl w:val="0"/>
          <w:numId w:val="32"/>
        </w:numPr>
        <w:wordWrap/>
        <w:autoSpaceDE/>
        <w:autoSpaceDN/>
        <w:spacing w:before="0" w:after="0" w:line="240" w:lineRule="auto"/>
        <w:ind w:leftChars="0"/>
        <w:contextualSpacing/>
        <w:jc w:val="left"/>
        <w:rPr>
          <w:rFonts w:ascii="Times New Roman" w:hAnsi="Times New Roman"/>
          <w:i/>
          <w:color w:val="000000"/>
          <w:szCs w:val="20"/>
        </w:rPr>
      </w:pPr>
      <w:r w:rsidRPr="00860CB6">
        <w:rPr>
          <w:rFonts w:ascii="Times New Roman" w:hAnsi="Times New Roman"/>
          <w:i/>
          <w:color w:val="000000"/>
          <w:szCs w:val="20"/>
          <w:highlight w:val="yellow"/>
        </w:rPr>
        <w:t>For TDM solutions for in-device coexistence between LTE and NR V2X</w:t>
      </w:r>
      <w:r w:rsidRPr="00860CB6">
        <w:rPr>
          <w:rFonts w:ascii="Times New Roman" w:hAnsi="Times New Roman"/>
          <w:i/>
          <w:color w:val="000000"/>
          <w:szCs w:val="20"/>
        </w:rPr>
        <w:t>:</w:t>
      </w:r>
    </w:p>
    <w:p w14:paraId="72936D0E" w14:textId="77777777" w:rsidR="007341AD" w:rsidRPr="00860CB6" w:rsidRDefault="007341AD" w:rsidP="007341AD">
      <w:pPr>
        <w:pStyle w:val="af4"/>
        <w:widowControl/>
        <w:numPr>
          <w:ilvl w:val="1"/>
          <w:numId w:val="32"/>
        </w:numPr>
        <w:wordWrap/>
        <w:autoSpaceDE/>
        <w:autoSpaceDN/>
        <w:spacing w:before="0" w:after="0" w:line="240" w:lineRule="auto"/>
        <w:ind w:leftChars="0"/>
        <w:contextualSpacing/>
        <w:jc w:val="left"/>
        <w:rPr>
          <w:rFonts w:ascii="Times New Roman" w:hAnsi="Times New Roman"/>
          <w:i/>
          <w:color w:val="000000"/>
          <w:szCs w:val="20"/>
        </w:rPr>
      </w:pPr>
      <w:r w:rsidRPr="00860CB6">
        <w:rPr>
          <w:rFonts w:ascii="Times New Roman" w:hAnsi="Times New Roman"/>
          <w:i/>
          <w:color w:val="000000"/>
          <w:szCs w:val="20"/>
        </w:rPr>
        <w:t>Time Alignment</w:t>
      </w:r>
    </w:p>
    <w:p w14:paraId="1CCB99F0" w14:textId="77777777" w:rsidR="007341AD" w:rsidRPr="00860CB6" w:rsidRDefault="007341AD" w:rsidP="007341AD">
      <w:pPr>
        <w:pStyle w:val="af4"/>
        <w:widowControl/>
        <w:numPr>
          <w:ilvl w:val="2"/>
          <w:numId w:val="32"/>
        </w:numPr>
        <w:wordWrap/>
        <w:autoSpaceDE/>
        <w:autoSpaceDN/>
        <w:spacing w:before="0" w:after="0" w:line="240" w:lineRule="auto"/>
        <w:ind w:leftChars="0"/>
        <w:contextualSpacing/>
        <w:jc w:val="left"/>
        <w:rPr>
          <w:rFonts w:ascii="Times New Roman" w:eastAsia="SimSun" w:hAnsi="Times New Roman"/>
          <w:i/>
          <w:color w:val="000000"/>
          <w:szCs w:val="20"/>
          <w:lang w:eastAsia="en-US"/>
        </w:rPr>
      </w:pPr>
      <w:proofErr w:type="spellStart"/>
      <w:r w:rsidRPr="00860CB6">
        <w:rPr>
          <w:rFonts w:ascii="Times New Roman" w:eastAsia="DengXian" w:hAnsi="Times New Roman"/>
          <w:i/>
          <w:szCs w:val="20"/>
          <w:highlight w:val="yellow"/>
          <w:lang w:eastAsia="zh-CN"/>
        </w:rPr>
        <w:t>Subframe</w:t>
      </w:r>
      <w:proofErr w:type="spellEnd"/>
      <w:r w:rsidRPr="00860CB6">
        <w:rPr>
          <w:rFonts w:ascii="Times New Roman" w:eastAsia="DengXian" w:hAnsi="Times New Roman"/>
          <w:i/>
          <w:szCs w:val="20"/>
          <w:highlight w:val="yellow"/>
          <w:lang w:eastAsia="zh-CN"/>
        </w:rPr>
        <w:t xml:space="preserve"> boundary alignment is required between LTE and NR V2X </w:t>
      </w:r>
      <w:proofErr w:type="spellStart"/>
      <w:r w:rsidRPr="00860CB6">
        <w:rPr>
          <w:rFonts w:ascii="Times New Roman" w:eastAsia="DengXian" w:hAnsi="Times New Roman"/>
          <w:i/>
          <w:szCs w:val="20"/>
          <w:highlight w:val="yellow"/>
          <w:lang w:eastAsia="zh-CN"/>
        </w:rPr>
        <w:t>sidelinks</w:t>
      </w:r>
      <w:proofErr w:type="spellEnd"/>
    </w:p>
    <w:p w14:paraId="49DD5CBC" w14:textId="77777777" w:rsidR="007341AD" w:rsidRPr="00860CB6" w:rsidRDefault="007341AD" w:rsidP="007341AD">
      <w:pPr>
        <w:pStyle w:val="af4"/>
        <w:widowControl/>
        <w:numPr>
          <w:ilvl w:val="2"/>
          <w:numId w:val="32"/>
        </w:numPr>
        <w:wordWrap/>
        <w:autoSpaceDE/>
        <w:autoSpaceDN/>
        <w:spacing w:before="0" w:after="0" w:line="240" w:lineRule="auto"/>
        <w:ind w:leftChars="0"/>
        <w:contextualSpacing/>
        <w:jc w:val="left"/>
        <w:rPr>
          <w:rFonts w:ascii="Times New Roman" w:hAnsi="Times New Roman"/>
          <w:i/>
          <w:color w:val="000000"/>
          <w:szCs w:val="20"/>
        </w:rPr>
      </w:pPr>
      <w:r w:rsidRPr="00860CB6">
        <w:rPr>
          <w:rFonts w:ascii="Times New Roman" w:eastAsia="DengXian" w:hAnsi="Times New Roman"/>
          <w:i/>
          <w:szCs w:val="20"/>
          <w:lang w:eastAsia="zh-CN"/>
        </w:rPr>
        <w:t xml:space="preserve">Both LTE and NR V2X </w:t>
      </w:r>
      <w:proofErr w:type="spellStart"/>
      <w:r w:rsidRPr="00860CB6">
        <w:rPr>
          <w:rFonts w:ascii="Times New Roman" w:eastAsia="DengXian" w:hAnsi="Times New Roman"/>
          <w:i/>
          <w:szCs w:val="20"/>
          <w:lang w:eastAsia="zh-CN"/>
        </w:rPr>
        <w:t>sidelinks</w:t>
      </w:r>
      <w:proofErr w:type="spellEnd"/>
      <w:r w:rsidRPr="00860CB6">
        <w:rPr>
          <w:rFonts w:ascii="Times New Roman" w:eastAsia="DengXian" w:hAnsi="Times New Roman"/>
          <w:i/>
          <w:szCs w:val="20"/>
          <w:lang w:eastAsia="zh-CN"/>
        </w:rPr>
        <w:t xml:space="preserve"> are aware of the time resource index (e.g., DFN for LTE) in both carriers</w:t>
      </w:r>
    </w:p>
    <w:p w14:paraId="4C3B7C40" w14:textId="77777777" w:rsidR="007341AD" w:rsidRPr="00860CB6" w:rsidRDefault="007341AD" w:rsidP="007341AD">
      <w:pPr>
        <w:rPr>
          <w:rFonts w:ascii="Times New Roman" w:hAnsi="Times New Roman" w:cs="Times New Roman"/>
          <w:color w:val="1F497D"/>
          <w:lang w:val="en-GB"/>
        </w:rPr>
      </w:pPr>
    </w:p>
    <w:p w14:paraId="211A88EE" w14:textId="677F21B7" w:rsidR="007341AD" w:rsidRPr="00860CB6" w:rsidRDefault="007341AD" w:rsidP="007341AD">
      <w:pPr>
        <w:wordWrap/>
        <w:autoSpaceDE/>
        <w:jc w:val="left"/>
        <w:rPr>
          <w:rFonts w:ascii="Times New Roman" w:hAnsi="Times New Roman" w:cs="Times New Roman"/>
          <w:b/>
          <w:bCs/>
          <w:i/>
          <w:iCs/>
          <w:lang w:val="en-GB" w:eastAsia="x-none"/>
        </w:rPr>
      </w:pPr>
      <w:r w:rsidRPr="00860CB6">
        <w:rPr>
          <w:rFonts w:ascii="Times New Roman" w:hAnsi="Times New Roman" w:cs="Times New Roman"/>
          <w:i/>
          <w:iCs/>
          <w:highlight w:val="green"/>
          <w:lang w:val="en-GB" w:eastAsia="x-none"/>
        </w:rPr>
        <w:t>Agreements</w:t>
      </w:r>
      <w:r w:rsidR="00A03377" w:rsidRPr="00860CB6">
        <w:rPr>
          <w:rFonts w:ascii="Times New Roman" w:hAnsi="Times New Roman" w:cs="Times New Roman"/>
          <w:i/>
          <w:iCs/>
          <w:lang w:val="en-GB" w:eastAsia="x-none"/>
        </w:rPr>
        <w:t xml:space="preserve"> (RAN1 #96)</w:t>
      </w:r>
      <w:r w:rsidRPr="00860CB6">
        <w:rPr>
          <w:rFonts w:ascii="Times New Roman" w:hAnsi="Times New Roman" w:cs="Times New Roman"/>
          <w:b/>
          <w:bCs/>
          <w:i/>
          <w:iCs/>
          <w:lang w:val="en-GB" w:eastAsia="x-none"/>
        </w:rPr>
        <w:t>:</w:t>
      </w:r>
    </w:p>
    <w:p w14:paraId="647A2516" w14:textId="77777777" w:rsidR="007341AD" w:rsidRPr="00860CB6" w:rsidRDefault="007341AD" w:rsidP="007341AD">
      <w:pPr>
        <w:numPr>
          <w:ilvl w:val="0"/>
          <w:numId w:val="32"/>
        </w:numPr>
        <w:wordWrap/>
        <w:autoSpaceDE/>
        <w:jc w:val="left"/>
        <w:rPr>
          <w:rFonts w:ascii="Times New Roman" w:hAnsi="Times New Roman" w:cs="Times New Roman"/>
          <w:i/>
          <w:iCs/>
          <w:color w:val="000000"/>
          <w:lang w:val="en-GB" w:eastAsia="x-none"/>
        </w:rPr>
      </w:pPr>
      <w:r w:rsidRPr="00860CB6">
        <w:rPr>
          <w:rFonts w:ascii="Times New Roman" w:hAnsi="Times New Roman" w:cs="Times New Roman"/>
          <w:i/>
          <w:iCs/>
          <w:color w:val="000000"/>
          <w:highlight w:val="yellow"/>
          <w:lang w:val="en-GB" w:eastAsia="x-none"/>
        </w:rPr>
        <w:t>For intra-band and inter-band FDM</w:t>
      </w:r>
      <w:r w:rsidRPr="00860CB6">
        <w:rPr>
          <w:rFonts w:ascii="Times New Roman" w:hAnsi="Times New Roman" w:cs="Times New Roman"/>
          <w:i/>
          <w:iCs/>
          <w:color w:val="000000"/>
          <w:lang w:val="en-GB" w:eastAsia="x-none"/>
        </w:rPr>
        <w:t xml:space="preserve"> dynamic power sharing solutions, the following additional conditions apply:</w:t>
      </w:r>
    </w:p>
    <w:p w14:paraId="3CED9BC7" w14:textId="77777777" w:rsidR="007341AD" w:rsidRPr="00860CB6" w:rsidRDefault="007341AD" w:rsidP="007341AD">
      <w:pPr>
        <w:numPr>
          <w:ilvl w:val="1"/>
          <w:numId w:val="32"/>
        </w:numPr>
        <w:wordWrap/>
        <w:autoSpaceDE/>
        <w:jc w:val="left"/>
        <w:rPr>
          <w:rFonts w:ascii="Times New Roman" w:hAnsi="Times New Roman" w:cs="Times New Roman"/>
          <w:i/>
          <w:iCs/>
          <w:color w:val="000000"/>
          <w:lang w:val="en-GB" w:eastAsia="x-none"/>
        </w:rPr>
      </w:pPr>
      <w:proofErr w:type="spellStart"/>
      <w:r w:rsidRPr="00860CB6">
        <w:rPr>
          <w:rFonts w:ascii="Times New Roman" w:hAnsi="Times New Roman" w:cs="Times New Roman"/>
          <w:i/>
          <w:iCs/>
          <w:highlight w:val="yellow"/>
          <w:lang w:val="en-GB" w:eastAsia="zh-CN"/>
        </w:rPr>
        <w:lastRenderedPageBreak/>
        <w:t>Subframe</w:t>
      </w:r>
      <w:proofErr w:type="spellEnd"/>
      <w:r w:rsidRPr="00860CB6">
        <w:rPr>
          <w:rFonts w:ascii="Times New Roman" w:hAnsi="Times New Roman" w:cs="Times New Roman"/>
          <w:i/>
          <w:iCs/>
          <w:highlight w:val="yellow"/>
          <w:lang w:val="en-GB" w:eastAsia="zh-CN"/>
        </w:rPr>
        <w:t xml:space="preserve"> boundary alignment is required between LTE and NR V2X </w:t>
      </w:r>
      <w:proofErr w:type="spellStart"/>
      <w:r w:rsidRPr="00860CB6">
        <w:rPr>
          <w:rFonts w:ascii="Times New Roman" w:hAnsi="Times New Roman" w:cs="Times New Roman"/>
          <w:i/>
          <w:iCs/>
          <w:highlight w:val="yellow"/>
          <w:lang w:val="en-GB" w:eastAsia="zh-CN"/>
        </w:rPr>
        <w:t>sidelinks</w:t>
      </w:r>
      <w:proofErr w:type="spellEnd"/>
    </w:p>
    <w:p w14:paraId="027DF285" w14:textId="77777777" w:rsidR="007341AD" w:rsidRPr="00860CB6" w:rsidRDefault="007341AD" w:rsidP="007341AD">
      <w:pPr>
        <w:numPr>
          <w:ilvl w:val="1"/>
          <w:numId w:val="32"/>
        </w:numPr>
        <w:wordWrap/>
        <w:autoSpaceDE/>
        <w:jc w:val="left"/>
        <w:rPr>
          <w:rFonts w:ascii="Times New Roman" w:hAnsi="Times New Roman" w:cs="Times New Roman"/>
          <w:i/>
          <w:iCs/>
          <w:color w:val="000000"/>
          <w:lang w:val="en-GB" w:eastAsia="x-none"/>
        </w:rPr>
      </w:pPr>
      <w:r w:rsidRPr="00860CB6">
        <w:rPr>
          <w:rFonts w:ascii="Times New Roman" w:hAnsi="Times New Roman" w:cs="Times New Roman"/>
          <w:i/>
          <w:iCs/>
          <w:lang w:val="en-GB" w:eastAsia="zh-CN"/>
        </w:rPr>
        <w:t xml:space="preserve">Both LTE and NR V2X </w:t>
      </w:r>
      <w:proofErr w:type="spellStart"/>
      <w:r w:rsidRPr="00860CB6">
        <w:rPr>
          <w:rFonts w:ascii="Times New Roman" w:hAnsi="Times New Roman" w:cs="Times New Roman"/>
          <w:i/>
          <w:iCs/>
          <w:lang w:val="en-GB" w:eastAsia="zh-CN"/>
        </w:rPr>
        <w:t>sidelinks</w:t>
      </w:r>
      <w:proofErr w:type="spellEnd"/>
      <w:r w:rsidRPr="00860CB6">
        <w:rPr>
          <w:rFonts w:ascii="Times New Roman" w:hAnsi="Times New Roman" w:cs="Times New Roman"/>
          <w:i/>
          <w:iCs/>
          <w:lang w:val="en-GB" w:eastAsia="zh-CN"/>
        </w:rPr>
        <w:t xml:space="preserve"> are aware of the time resource index (e.g., DFN for LTE) in both carriers</w:t>
      </w:r>
    </w:p>
    <w:p w14:paraId="4E70B52E" w14:textId="6A3046C0" w:rsidR="00B6624C" w:rsidRPr="00E80D1C" w:rsidRDefault="00E80D1C" w:rsidP="00B6624C">
      <w:pPr>
        <w:pStyle w:val="LGTdoc0"/>
        <w:spacing w:before="100" w:beforeAutospacing="1" w:afterAutospacing="1"/>
        <w:ind w:firstLine="425"/>
        <w:rPr>
          <w:rFonts w:ascii="Calibri" w:eastAsia="맑은 고딕" w:hAnsi="Calibri" w:cs="Calibri"/>
          <w:bCs/>
          <w:iCs/>
          <w:szCs w:val="22"/>
        </w:rPr>
      </w:pPr>
      <w:r w:rsidRPr="00E80D1C">
        <w:rPr>
          <w:rFonts w:ascii="Calibri" w:eastAsia="맑은 고딕" w:hAnsi="Calibri" w:cs="Calibri"/>
          <w:bCs/>
          <w:iCs/>
          <w:szCs w:val="22"/>
        </w:rPr>
        <w:t>T</w:t>
      </w:r>
      <w:r w:rsidRPr="00E80D1C">
        <w:rPr>
          <w:rFonts w:ascii="Calibri" w:eastAsia="맑은 고딕" w:hAnsi="Calibri" w:cs="Calibri" w:hint="eastAsia"/>
          <w:bCs/>
          <w:iCs/>
          <w:szCs w:val="22"/>
        </w:rPr>
        <w:t xml:space="preserve">he </w:t>
      </w:r>
      <w:r w:rsidRPr="00E80D1C">
        <w:rPr>
          <w:rFonts w:ascii="Calibri" w:eastAsia="맑은 고딕" w:hAnsi="Calibri" w:cs="Calibri"/>
          <w:bCs/>
          <w:iCs/>
          <w:szCs w:val="22"/>
        </w:rPr>
        <w:t xml:space="preserve">typical scenario of in-device coexistence happens in V2X communication in the dedicated ITS band. The ITS dedicated spectrum was allocated for transmission of the basic safety messages. Therefore, a UE is expected to be equipped with the LTE-V2X module to support the basic safety services. It means there will be no UE operating in the </w:t>
      </w:r>
      <w:proofErr w:type="gramStart"/>
      <w:r w:rsidRPr="00E80D1C">
        <w:rPr>
          <w:rFonts w:ascii="Calibri" w:eastAsia="맑은 고딕" w:hAnsi="Calibri" w:cs="Calibri"/>
          <w:bCs/>
          <w:iCs/>
          <w:szCs w:val="22"/>
        </w:rPr>
        <w:t>ITS</w:t>
      </w:r>
      <w:proofErr w:type="gramEnd"/>
      <w:r w:rsidRPr="00E80D1C">
        <w:rPr>
          <w:rFonts w:ascii="Calibri" w:eastAsia="맑은 고딕" w:hAnsi="Calibri" w:cs="Calibri"/>
          <w:bCs/>
          <w:iCs/>
          <w:szCs w:val="22"/>
        </w:rPr>
        <w:t xml:space="preserve"> dedicated band without LTE-V2X module – that is, the NR-V2X only UE. So, in this scenario, a UE should follow the in-device coexistence operation as indicated in the above agreements.</w:t>
      </w:r>
    </w:p>
    <w:p w14:paraId="64736B5E" w14:textId="66405E5B" w:rsidR="00B6624C" w:rsidRPr="00B70C79" w:rsidRDefault="00B6624C" w:rsidP="00B6624C">
      <w:pPr>
        <w:pStyle w:val="LGTdoc0"/>
        <w:spacing w:before="100" w:beforeAutospacing="1" w:afterAutospacing="1"/>
        <w:ind w:firstLine="425"/>
        <w:rPr>
          <w:rFonts w:ascii="Calibri" w:eastAsia="맑은 고딕" w:hAnsi="Calibri" w:cs="Calibri"/>
          <w:bCs/>
          <w:iCs/>
          <w:szCs w:val="22"/>
        </w:rPr>
      </w:pPr>
      <w:r>
        <w:rPr>
          <w:rFonts w:ascii="Calibri" w:eastAsia="맑은 고딕" w:hAnsi="Calibri" w:cs="Calibri"/>
          <w:bCs/>
          <w:iCs/>
          <w:szCs w:val="22"/>
        </w:rPr>
        <w:t>In summary</w:t>
      </w:r>
      <w:r w:rsidR="00B70C79" w:rsidRPr="00B70C79">
        <w:rPr>
          <w:rFonts w:ascii="Calibri" w:eastAsia="맑은 고딕" w:hAnsi="Calibri" w:cs="Calibri"/>
          <w:bCs/>
          <w:iCs/>
          <w:szCs w:val="22"/>
        </w:rPr>
        <w:t xml:space="preserve">, when a UE is configured to operate </w:t>
      </w:r>
      <w:r>
        <w:rPr>
          <w:rFonts w:ascii="Calibri" w:eastAsia="맑은 고딕" w:hAnsi="Calibri" w:cs="Calibri"/>
          <w:bCs/>
          <w:iCs/>
          <w:szCs w:val="22"/>
        </w:rPr>
        <w:t>according to</w:t>
      </w:r>
      <w:r w:rsidR="00B70C79" w:rsidRPr="00B70C79">
        <w:rPr>
          <w:rFonts w:ascii="Calibri" w:eastAsia="맑은 고딕" w:hAnsi="Calibri" w:cs="Calibri"/>
          <w:bCs/>
          <w:iCs/>
          <w:szCs w:val="22"/>
        </w:rPr>
        <w:t xml:space="preserve"> the in-device coexistence between LTE-V2X and NR-V2X, the UE needs to transmit the NR-V2X </w:t>
      </w:r>
      <w:proofErr w:type="spellStart"/>
      <w:r w:rsidR="00B70C79" w:rsidRPr="00B70C79">
        <w:rPr>
          <w:rFonts w:ascii="Calibri" w:eastAsia="맑은 고딕" w:hAnsi="Calibri" w:cs="Calibri"/>
          <w:bCs/>
          <w:iCs/>
          <w:szCs w:val="22"/>
        </w:rPr>
        <w:t>subframes</w:t>
      </w:r>
      <w:proofErr w:type="spellEnd"/>
      <w:r w:rsidR="00B70C79" w:rsidRPr="00B70C79">
        <w:rPr>
          <w:rFonts w:ascii="Calibri" w:eastAsia="맑은 고딕" w:hAnsi="Calibri" w:cs="Calibri"/>
          <w:bCs/>
          <w:iCs/>
          <w:szCs w:val="22"/>
        </w:rPr>
        <w:t xml:space="preserve"> to be aligned with the LTE-V2X </w:t>
      </w:r>
      <w:proofErr w:type="spellStart"/>
      <w:r w:rsidR="00B70C79" w:rsidRPr="00B70C79">
        <w:rPr>
          <w:rFonts w:ascii="Calibri" w:eastAsia="맑은 고딕" w:hAnsi="Calibri" w:cs="Calibri"/>
          <w:bCs/>
          <w:iCs/>
          <w:szCs w:val="22"/>
        </w:rPr>
        <w:t>subframes</w:t>
      </w:r>
      <w:proofErr w:type="spellEnd"/>
      <w:r w:rsidR="00B70C79" w:rsidRPr="00B70C79">
        <w:rPr>
          <w:rFonts w:ascii="Calibri" w:eastAsia="맑은 고딕" w:hAnsi="Calibri" w:cs="Calibri"/>
          <w:bCs/>
          <w:iCs/>
          <w:szCs w:val="22"/>
        </w:rPr>
        <w:t xml:space="preserve"> for both TDM and FDM case.</w:t>
      </w:r>
    </w:p>
    <w:p w14:paraId="463638FE" w14:textId="64C6187B" w:rsidR="00B70C79" w:rsidRDefault="00B70C79" w:rsidP="00B70C79">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1</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sidR="00504945">
        <w:rPr>
          <w:rFonts w:ascii="Calibri" w:eastAsiaTheme="minorEastAsia" w:hAnsi="Calibri" w:cs="Calibri"/>
          <w:i/>
          <w:sz w:val="22"/>
        </w:rPr>
        <w:t>To capture the</w:t>
      </w:r>
      <w:r w:rsidRPr="00611BF4">
        <w:rPr>
          <w:rFonts w:ascii="Calibri" w:eastAsiaTheme="minorEastAsia" w:hAnsi="Calibri" w:cs="Calibri"/>
          <w:i/>
          <w:sz w:val="22"/>
        </w:rPr>
        <w:t xml:space="preserve"> agreement</w:t>
      </w:r>
      <w:r>
        <w:rPr>
          <w:rFonts w:ascii="Calibri" w:eastAsiaTheme="minorEastAsia" w:hAnsi="Calibri" w:cs="Calibri"/>
          <w:i/>
          <w:sz w:val="22"/>
        </w:rPr>
        <w:t>s</w:t>
      </w:r>
      <w:r w:rsidRPr="00611BF4">
        <w:rPr>
          <w:rFonts w:ascii="Calibri" w:eastAsiaTheme="minorEastAsia" w:hAnsi="Calibri" w:cs="Calibri"/>
          <w:i/>
          <w:sz w:val="22"/>
        </w:rPr>
        <w:t xml:space="preserve"> </w:t>
      </w:r>
      <w:r w:rsidR="00504945">
        <w:rPr>
          <w:rFonts w:ascii="Calibri" w:eastAsiaTheme="minorEastAsia" w:hAnsi="Calibri" w:cs="Calibri"/>
          <w:i/>
          <w:sz w:val="22"/>
        </w:rPr>
        <w:t xml:space="preserve">relevant to </w:t>
      </w:r>
      <w:r w:rsidR="00A7275E">
        <w:rPr>
          <w:rFonts w:ascii="Calibri" w:eastAsiaTheme="minorEastAsia" w:hAnsi="Calibri" w:cs="Calibri" w:hint="eastAsia"/>
          <w:i/>
          <w:sz w:val="22"/>
        </w:rPr>
        <w:t>t</w:t>
      </w:r>
      <w:r w:rsidR="00A7275E">
        <w:rPr>
          <w:rFonts w:ascii="Calibri" w:eastAsiaTheme="minorEastAsia" w:hAnsi="Calibri" w:cs="Calibri"/>
          <w:i/>
          <w:sz w:val="22"/>
        </w:rPr>
        <w:t xml:space="preserve">he </w:t>
      </w:r>
      <w:r w:rsidR="00504945">
        <w:rPr>
          <w:rFonts w:ascii="Calibri" w:eastAsiaTheme="minorEastAsia" w:hAnsi="Calibri" w:cs="Calibri"/>
          <w:i/>
          <w:sz w:val="22"/>
        </w:rPr>
        <w:t xml:space="preserve">boundary </w:t>
      </w:r>
      <w:r w:rsidR="004F3632">
        <w:rPr>
          <w:rFonts w:ascii="Calibri" w:eastAsiaTheme="minorEastAsia" w:hAnsi="Calibri" w:cs="Calibri"/>
          <w:i/>
          <w:sz w:val="22"/>
        </w:rPr>
        <w:t xml:space="preserve">alignment between LTE and NR SL </w:t>
      </w:r>
      <w:r w:rsidRPr="00611BF4">
        <w:rPr>
          <w:rFonts w:ascii="Calibri" w:eastAsiaTheme="minorEastAsia" w:hAnsi="Calibri" w:cs="Calibri"/>
          <w:i/>
          <w:sz w:val="22"/>
        </w:rPr>
        <w:t>m</w:t>
      </w:r>
      <w:r w:rsidR="00A7275E">
        <w:rPr>
          <w:rFonts w:ascii="Calibri" w:eastAsiaTheme="minorEastAsia" w:hAnsi="Calibri" w:cs="Calibri"/>
          <w:i/>
          <w:sz w:val="22"/>
        </w:rPr>
        <w:t>a</w:t>
      </w:r>
      <w:r w:rsidRPr="00611BF4">
        <w:rPr>
          <w:rFonts w:ascii="Calibri" w:eastAsiaTheme="minorEastAsia" w:hAnsi="Calibri" w:cs="Calibri"/>
          <w:i/>
          <w:sz w:val="22"/>
        </w:rPr>
        <w:t>de in RAN1</w:t>
      </w:r>
      <w:r>
        <w:rPr>
          <w:rFonts w:ascii="Calibri" w:eastAsiaTheme="minorEastAsia" w:hAnsi="Calibri" w:cs="Calibri"/>
          <w:i/>
          <w:sz w:val="22"/>
        </w:rPr>
        <w:t xml:space="preserve"> </w:t>
      </w:r>
      <w:r w:rsidRPr="00611BF4">
        <w:rPr>
          <w:rFonts w:ascii="Calibri" w:eastAsiaTheme="minorEastAsia" w:hAnsi="Calibri" w:cs="Calibri"/>
          <w:i/>
          <w:sz w:val="22"/>
        </w:rPr>
        <w:t xml:space="preserve">#1901 </w:t>
      </w:r>
      <w:proofErr w:type="spellStart"/>
      <w:r w:rsidRPr="00611BF4">
        <w:rPr>
          <w:rFonts w:ascii="Calibri" w:eastAsiaTheme="minorEastAsia" w:hAnsi="Calibri" w:cs="Calibri"/>
          <w:i/>
          <w:sz w:val="22"/>
        </w:rPr>
        <w:t>adhoc</w:t>
      </w:r>
      <w:proofErr w:type="spellEnd"/>
      <w:r w:rsidRPr="00611BF4">
        <w:rPr>
          <w:rFonts w:ascii="Calibri" w:eastAsiaTheme="minorEastAsia" w:hAnsi="Calibri" w:cs="Calibri"/>
          <w:i/>
          <w:sz w:val="22"/>
        </w:rPr>
        <w:t xml:space="preserve"> </w:t>
      </w:r>
      <w:r>
        <w:rPr>
          <w:rFonts w:ascii="Calibri" w:eastAsiaTheme="minorEastAsia" w:hAnsi="Calibri" w:cs="Calibri"/>
          <w:i/>
          <w:sz w:val="22"/>
        </w:rPr>
        <w:t>and RAN1 #96 meeting</w:t>
      </w:r>
      <w:r w:rsidRPr="00611BF4">
        <w:rPr>
          <w:rFonts w:ascii="Calibri" w:eastAsiaTheme="minorEastAsia" w:hAnsi="Calibri" w:cs="Calibri"/>
          <w:i/>
          <w:sz w:val="22"/>
        </w:rPr>
        <w:t xml:space="preserve">, following TP </w:t>
      </w:r>
      <w:r>
        <w:rPr>
          <w:rFonts w:ascii="Calibri" w:eastAsiaTheme="minorEastAsia" w:hAnsi="Calibri" w:cs="Calibri"/>
          <w:i/>
          <w:sz w:val="22"/>
        </w:rPr>
        <w:t xml:space="preserve">regarding the in-device coexistence operation </w:t>
      </w:r>
      <w:r w:rsidRPr="00611BF4">
        <w:rPr>
          <w:rFonts w:ascii="Calibri" w:eastAsiaTheme="minorEastAsia" w:hAnsi="Calibri" w:cs="Calibri"/>
          <w:i/>
          <w:sz w:val="22"/>
        </w:rPr>
        <w:t>is included in TS38.213.</w:t>
      </w:r>
    </w:p>
    <w:p w14:paraId="0C733A86" w14:textId="77777777" w:rsidR="00B70C79" w:rsidRPr="00506057" w:rsidRDefault="00B70C79" w:rsidP="00B70C79">
      <w:pPr>
        <w:wordWrap/>
        <w:autoSpaceDE/>
        <w:autoSpaceDN/>
        <w:contextualSpacing/>
        <w:jc w:val="left"/>
        <w:rPr>
          <w:rFonts w:ascii="Times New Roman" w:hAnsi="Times New Roman"/>
          <w:i/>
          <w:color w:val="000000"/>
        </w:rPr>
      </w:pPr>
    </w:p>
    <w:tbl>
      <w:tblPr>
        <w:tblStyle w:val="aa"/>
        <w:tblW w:w="0" w:type="auto"/>
        <w:tblLook w:val="04A0" w:firstRow="1" w:lastRow="0" w:firstColumn="1" w:lastColumn="0" w:noHBand="0" w:noVBand="1"/>
      </w:tblPr>
      <w:tblGrid>
        <w:gridCol w:w="9362"/>
      </w:tblGrid>
      <w:tr w:rsidR="00B70C79" w14:paraId="3DBE750D" w14:textId="77777777" w:rsidTr="00A7275E">
        <w:trPr>
          <w:trHeight w:val="1655"/>
        </w:trPr>
        <w:tc>
          <w:tcPr>
            <w:tcW w:w="9362" w:type="dxa"/>
          </w:tcPr>
          <w:p w14:paraId="3B98D07E" w14:textId="644CDD53" w:rsidR="00B70C79" w:rsidRPr="007F4B4B" w:rsidRDefault="00B70C79" w:rsidP="003A32A5">
            <w:pPr>
              <w:keepNext/>
              <w:keepLines/>
              <w:widowControl/>
              <w:wordWrap/>
              <w:autoSpaceDE/>
              <w:autoSpaceDN/>
              <w:spacing w:after="180"/>
              <w:jc w:val="left"/>
              <w:outlineLvl w:val="1"/>
              <w:rPr>
                <w:rFonts w:ascii="Arial" w:eastAsia="DengXian" w:hAnsi="Arial"/>
                <w:color w:val="C00000"/>
                <w:sz w:val="32"/>
              </w:rPr>
            </w:pPr>
            <w:r w:rsidRPr="007F4B4B">
              <w:rPr>
                <w:rFonts w:ascii="Arial" w:eastAsia="DengXian" w:hAnsi="Arial" w:cs="Times New Roman"/>
                <w:color w:val="C00000"/>
                <w:sz w:val="32"/>
                <w:lang w:val="en-GB" w:eastAsia="en-US"/>
              </w:rPr>
              <w:t>16</w:t>
            </w:r>
            <w:r w:rsidRPr="007F4B4B">
              <w:rPr>
                <w:rFonts w:ascii="Arial" w:eastAsia="DengXian" w:hAnsi="Arial"/>
                <w:color w:val="C00000"/>
                <w:sz w:val="32"/>
              </w:rPr>
              <w:t>.2.X</w:t>
            </w:r>
            <w:r w:rsidRPr="007F4B4B">
              <w:rPr>
                <w:rFonts w:ascii="Arial" w:eastAsia="DengXian" w:hAnsi="Arial"/>
                <w:color w:val="C00000"/>
                <w:sz w:val="32"/>
              </w:rPr>
              <w:tab/>
            </w:r>
            <w:r w:rsidR="00504945" w:rsidRPr="007F4B4B">
              <w:rPr>
                <w:rFonts w:ascii="Arial" w:eastAsia="DengXian" w:hAnsi="Arial"/>
                <w:color w:val="C00000"/>
                <w:sz w:val="32"/>
              </w:rPr>
              <w:t>Operation</w:t>
            </w:r>
            <w:r w:rsidRPr="007F4B4B">
              <w:rPr>
                <w:rFonts w:ascii="Arial" w:eastAsia="DengXian" w:hAnsi="Arial"/>
                <w:color w:val="C00000"/>
                <w:sz w:val="32"/>
              </w:rPr>
              <w:t xml:space="preserve"> for in-device coexistence</w:t>
            </w:r>
          </w:p>
          <w:p w14:paraId="09D7FAD5" w14:textId="6282058D" w:rsidR="00B70C79" w:rsidRPr="00F52769" w:rsidRDefault="00B70C79" w:rsidP="00C3263E">
            <w:pPr>
              <w:rPr>
                <w:rFonts w:ascii="Times New Roman" w:hAnsi="Times New Roman"/>
                <w:i/>
                <w:color w:val="000000"/>
              </w:rPr>
            </w:pPr>
            <w:r w:rsidRPr="007F4B4B">
              <w:rPr>
                <w:rFonts w:ascii="Times New Roman" w:eastAsia="SimSun" w:hAnsi="Times New Roman" w:cs="Times New Roman"/>
                <w:color w:val="C00000"/>
                <w:lang w:eastAsia="zh-CN"/>
              </w:rPr>
              <w:t>If a UE</w:t>
            </w:r>
            <w:r w:rsidR="00504945" w:rsidRPr="007F4B4B">
              <w:rPr>
                <w:rFonts w:ascii="Times New Roman" w:eastAsia="SimSun" w:hAnsi="Times New Roman" w:cs="Times New Roman"/>
                <w:color w:val="C00000"/>
                <w:lang w:eastAsia="zh-CN"/>
              </w:rPr>
              <w:t xml:space="preserve"> </w:t>
            </w:r>
            <w:r w:rsidRPr="007F4B4B">
              <w:rPr>
                <w:rFonts w:ascii="Times New Roman" w:hAnsi="Times New Roman" w:cs="Times New Roman"/>
                <w:bCs/>
                <w:color w:val="C00000"/>
                <w:kern w:val="32"/>
                <w:lang w:eastAsia="zh-CN"/>
              </w:rPr>
              <w:t>is configured to operate in in-device coexistence mode between a first channel/signal using</w:t>
            </w:r>
            <w:r w:rsidRPr="007F4B4B">
              <w:rPr>
                <w:rFonts w:ascii="Times New Roman" w:hAnsi="Times New Roman" w:cs="Times New Roman"/>
                <w:color w:val="C00000"/>
              </w:rPr>
              <w:t xml:space="preserve"> E-UTRA radio access</w:t>
            </w:r>
            <w:r w:rsidRPr="007F4B4B">
              <w:rPr>
                <w:rFonts w:ascii="Times New Roman" w:hAnsi="Times New Roman" w:cs="Times New Roman"/>
                <w:bCs/>
                <w:color w:val="C00000"/>
                <w:kern w:val="32"/>
                <w:lang w:eastAsia="zh-CN"/>
              </w:rPr>
              <w:t xml:space="preserve"> and a second channel/signal using NR radio access</w:t>
            </w:r>
            <w:r w:rsidR="00504945" w:rsidRPr="007F4B4B">
              <w:rPr>
                <w:rFonts w:ascii="Times New Roman" w:hAnsi="Times New Roman" w:cs="Times New Roman"/>
                <w:bCs/>
                <w:color w:val="C00000"/>
                <w:kern w:val="32"/>
                <w:lang w:eastAsia="zh-CN"/>
              </w:rPr>
              <w:t xml:space="preserve">, </w:t>
            </w:r>
            <w:r w:rsidRPr="007F4B4B">
              <w:rPr>
                <w:rFonts w:ascii="Times New Roman" w:hAnsi="Times New Roman" w:cs="Times New Roman"/>
                <w:color w:val="C00000"/>
              </w:rPr>
              <w:t>the UE transmits</w:t>
            </w:r>
            <w:r w:rsidR="00504945" w:rsidRPr="007F4B4B">
              <w:rPr>
                <w:rFonts w:ascii="Times New Roman" w:hAnsi="Times New Roman" w:cs="Times New Roman"/>
                <w:color w:val="C00000"/>
              </w:rPr>
              <w:t xml:space="preserve"> or receives</w:t>
            </w:r>
            <w:r w:rsidRPr="007F4B4B">
              <w:rPr>
                <w:rFonts w:ascii="Times New Roman" w:hAnsi="Times New Roman" w:cs="Times New Roman"/>
                <w:color w:val="C00000"/>
              </w:rPr>
              <w:t xml:space="preserve"> the channel</w:t>
            </w:r>
            <w:r w:rsidR="00C3263E">
              <w:rPr>
                <w:rFonts w:ascii="Times New Roman" w:hAnsi="Times New Roman" w:cs="Times New Roman"/>
                <w:color w:val="C00000"/>
              </w:rPr>
              <w:t>/</w:t>
            </w:r>
            <w:r w:rsidRPr="007F4B4B">
              <w:rPr>
                <w:rFonts w:ascii="Times New Roman" w:hAnsi="Times New Roman" w:cs="Times New Roman"/>
                <w:color w:val="C00000"/>
              </w:rPr>
              <w:t>signal</w:t>
            </w:r>
            <w:r w:rsidR="00C3263E">
              <w:rPr>
                <w:rFonts w:ascii="Times New Roman" w:hAnsi="Times New Roman" w:cs="Times New Roman"/>
                <w:color w:val="C00000"/>
              </w:rPr>
              <w:t>, of which</w:t>
            </w:r>
            <w:r w:rsidRPr="007F4B4B">
              <w:rPr>
                <w:rFonts w:ascii="Times New Roman" w:hAnsi="Times New Roman" w:cs="Times New Roman"/>
                <w:color w:val="C00000"/>
              </w:rPr>
              <w:t xml:space="preserve"> the </w:t>
            </w:r>
            <w:proofErr w:type="spellStart"/>
            <w:r w:rsidRPr="007F4B4B">
              <w:rPr>
                <w:rFonts w:ascii="Times New Roman" w:hAnsi="Times New Roman" w:cs="Times New Roman"/>
                <w:color w:val="C00000"/>
              </w:rPr>
              <w:t>subframe</w:t>
            </w:r>
            <w:proofErr w:type="spellEnd"/>
            <w:r w:rsidRPr="007F4B4B">
              <w:rPr>
                <w:rFonts w:ascii="Times New Roman" w:hAnsi="Times New Roman" w:cs="Times New Roman"/>
                <w:color w:val="C00000"/>
              </w:rPr>
              <w:t xml:space="preserve"> boundary of the first channel/signal using E-UTRA radio access is aligned with the </w:t>
            </w:r>
            <w:proofErr w:type="spellStart"/>
            <w:r w:rsidRPr="007F4B4B">
              <w:rPr>
                <w:rFonts w:ascii="Times New Roman" w:hAnsi="Times New Roman" w:cs="Times New Roman"/>
                <w:color w:val="C00000"/>
              </w:rPr>
              <w:t>subframe</w:t>
            </w:r>
            <w:proofErr w:type="spellEnd"/>
            <w:r w:rsidRPr="007F4B4B">
              <w:rPr>
                <w:rFonts w:ascii="Times New Roman" w:hAnsi="Times New Roman" w:cs="Times New Roman"/>
                <w:color w:val="C00000"/>
              </w:rPr>
              <w:t xml:space="preserve"> boundary of the second channel/signal using NR radio access.</w:t>
            </w:r>
            <w:r w:rsidRPr="007F4B4B">
              <w:rPr>
                <w:color w:val="C00000"/>
              </w:rPr>
              <w:t xml:space="preserve"> </w:t>
            </w:r>
          </w:p>
        </w:tc>
      </w:tr>
    </w:tbl>
    <w:p w14:paraId="4E9D4BFD" w14:textId="77777777" w:rsidR="00B70C79" w:rsidRPr="00C3263E" w:rsidRDefault="00B70C79" w:rsidP="00B70C79">
      <w:pPr>
        <w:wordWrap/>
        <w:autoSpaceDE/>
        <w:autoSpaceDN/>
        <w:contextualSpacing/>
        <w:jc w:val="left"/>
        <w:rPr>
          <w:rFonts w:ascii="Times New Roman" w:hAnsi="Times New Roman"/>
          <w:i/>
          <w:color w:val="000000"/>
        </w:rPr>
      </w:pPr>
    </w:p>
    <w:p w14:paraId="7A897225" w14:textId="0C9F4933" w:rsidR="00B6624C" w:rsidRDefault="00B6624C" w:rsidP="00B70C79">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hint="eastAsia"/>
          <w:sz w:val="22"/>
          <w:lang w:val="en-GB"/>
        </w:rPr>
        <w:t>There are another agreements</w:t>
      </w:r>
      <w:r>
        <w:rPr>
          <w:rFonts w:ascii="Calibri" w:eastAsiaTheme="minorEastAsia" w:hAnsi="Calibri" w:cs="Calibri"/>
          <w:sz w:val="22"/>
          <w:lang w:val="en-GB"/>
        </w:rPr>
        <w:t xml:space="preserve"> regarding the synchronization operation for the in-device coexistence.</w:t>
      </w:r>
    </w:p>
    <w:p w14:paraId="13D8C007" w14:textId="77777777" w:rsidR="00B6624C" w:rsidRPr="00B6624C" w:rsidRDefault="00B6624C" w:rsidP="00B6624C">
      <w:pPr>
        <w:wordWrap/>
        <w:autoSpaceDE/>
        <w:autoSpaceDN/>
        <w:jc w:val="left"/>
        <w:rPr>
          <w:rFonts w:ascii="Times New Roman" w:hAnsi="Times New Roman" w:cs="Times New Roman"/>
          <w:sz w:val="22"/>
          <w:szCs w:val="22"/>
        </w:rPr>
      </w:pPr>
      <w:r w:rsidRPr="00B6624C">
        <w:rPr>
          <w:rFonts w:ascii="Times New Roman" w:hAnsi="Times New Roman" w:cs="Times New Roman"/>
          <w:i/>
          <w:iCs/>
          <w:color w:val="000000"/>
          <w:shd w:val="clear" w:color="auto" w:fill="00FF00"/>
        </w:rPr>
        <w:t>Agreements</w:t>
      </w:r>
      <w:r w:rsidRPr="00B6624C">
        <w:rPr>
          <w:rFonts w:ascii="Times New Roman" w:hAnsi="Times New Roman" w:cs="Times New Roman"/>
          <w:i/>
          <w:iCs/>
        </w:rPr>
        <w:t> in RAN1#94bis:</w:t>
      </w:r>
    </w:p>
    <w:p w14:paraId="7D4B991E" w14:textId="77777777" w:rsidR="00B6624C" w:rsidRPr="00B6624C" w:rsidRDefault="00B6624C" w:rsidP="00B6624C">
      <w:pPr>
        <w:numPr>
          <w:ilvl w:val="0"/>
          <w:numId w:val="37"/>
        </w:numPr>
        <w:wordWrap/>
        <w:autoSpaceDE/>
        <w:autoSpaceDN/>
        <w:jc w:val="left"/>
        <w:rPr>
          <w:rFonts w:ascii="Times New Roman" w:eastAsia="Times New Roman" w:hAnsi="Times New Roman" w:cs="Times New Roman"/>
          <w:sz w:val="22"/>
          <w:szCs w:val="22"/>
        </w:rPr>
      </w:pPr>
      <w:r w:rsidRPr="00B6624C">
        <w:rPr>
          <w:rFonts w:ascii="Times New Roman" w:eastAsia="SimSun" w:hAnsi="Times New Roman" w:cs="Times New Roman"/>
          <w:i/>
          <w:iCs/>
          <w:color w:val="000000"/>
          <w:highlight w:val="yellow"/>
        </w:rPr>
        <w:t xml:space="preserve">For TDM solutions, LTE and NR V2X </w:t>
      </w:r>
      <w:proofErr w:type="spellStart"/>
      <w:r w:rsidRPr="00B6624C">
        <w:rPr>
          <w:rFonts w:ascii="Times New Roman" w:eastAsia="SimSun" w:hAnsi="Times New Roman" w:cs="Times New Roman"/>
          <w:i/>
          <w:iCs/>
          <w:color w:val="000000"/>
          <w:highlight w:val="yellow"/>
        </w:rPr>
        <w:t>sidelinks</w:t>
      </w:r>
      <w:proofErr w:type="spellEnd"/>
      <w:r w:rsidRPr="00B6624C">
        <w:rPr>
          <w:rFonts w:ascii="Times New Roman" w:eastAsia="SimSun" w:hAnsi="Times New Roman" w:cs="Times New Roman"/>
          <w:i/>
          <w:iCs/>
          <w:color w:val="000000"/>
          <w:highlight w:val="yellow"/>
        </w:rPr>
        <w:t xml:space="preserve"> are assumed to be synchronized</w:t>
      </w:r>
      <w:r w:rsidRPr="00B6624C">
        <w:rPr>
          <w:rFonts w:ascii="Times New Roman" w:eastAsia="Times New Roman" w:hAnsi="Times New Roman" w:cs="Times New Roman"/>
          <w:sz w:val="22"/>
          <w:szCs w:val="22"/>
        </w:rPr>
        <w:t xml:space="preserve"> </w:t>
      </w:r>
    </w:p>
    <w:p w14:paraId="583E062A" w14:textId="77777777" w:rsidR="00B6624C" w:rsidRPr="00B6624C" w:rsidRDefault="00B6624C" w:rsidP="00B6624C">
      <w:pPr>
        <w:numPr>
          <w:ilvl w:val="1"/>
          <w:numId w:val="37"/>
        </w:numPr>
        <w:wordWrap/>
        <w:autoSpaceDE/>
        <w:autoSpaceDN/>
        <w:jc w:val="left"/>
        <w:rPr>
          <w:rFonts w:ascii="Times New Roman" w:eastAsia="Times New Roman" w:hAnsi="Times New Roman" w:cs="Times New Roman"/>
          <w:sz w:val="22"/>
          <w:szCs w:val="22"/>
        </w:rPr>
      </w:pPr>
      <w:r w:rsidRPr="00B6624C">
        <w:rPr>
          <w:rFonts w:ascii="Times New Roman" w:eastAsia="SimSun" w:hAnsi="Times New Roman" w:cs="Times New Roman"/>
          <w:i/>
          <w:iCs/>
        </w:rPr>
        <w:t>FFS accuracy of time alignment/synchronization</w:t>
      </w:r>
      <w:r w:rsidRPr="00B6624C">
        <w:rPr>
          <w:rFonts w:ascii="Times New Roman" w:eastAsia="Times New Roman" w:hAnsi="Times New Roman" w:cs="Times New Roman"/>
          <w:sz w:val="22"/>
          <w:szCs w:val="22"/>
        </w:rPr>
        <w:t xml:space="preserve"> </w:t>
      </w:r>
    </w:p>
    <w:p w14:paraId="5E7F533F" w14:textId="77777777" w:rsidR="00B6624C" w:rsidRPr="00B6624C" w:rsidRDefault="00B6624C" w:rsidP="00B6624C">
      <w:pPr>
        <w:numPr>
          <w:ilvl w:val="1"/>
          <w:numId w:val="37"/>
        </w:numPr>
        <w:wordWrap/>
        <w:autoSpaceDE/>
        <w:autoSpaceDN/>
        <w:jc w:val="left"/>
        <w:rPr>
          <w:rFonts w:ascii="Times New Roman" w:eastAsia="Times New Roman" w:hAnsi="Times New Roman" w:cs="Times New Roman"/>
          <w:sz w:val="22"/>
          <w:szCs w:val="22"/>
        </w:rPr>
      </w:pPr>
      <w:r w:rsidRPr="00B6624C">
        <w:rPr>
          <w:rFonts w:ascii="Times New Roman" w:eastAsia="SimSun" w:hAnsi="Times New Roman" w:cs="Times New Roman"/>
          <w:i/>
          <w:iCs/>
        </w:rPr>
        <w:t>FFS alignment whether slot level and/or DFN based alignment is needed</w:t>
      </w:r>
    </w:p>
    <w:p w14:paraId="55A9777F" w14:textId="77777777" w:rsidR="00B6624C" w:rsidRPr="00B6624C" w:rsidRDefault="00B6624C" w:rsidP="00B6624C">
      <w:pPr>
        <w:wordWrap/>
        <w:autoSpaceDE/>
        <w:autoSpaceDN/>
        <w:jc w:val="left"/>
        <w:rPr>
          <w:rFonts w:ascii="Times New Roman" w:hAnsi="Times New Roman" w:cs="Times New Roman"/>
          <w:sz w:val="22"/>
          <w:szCs w:val="22"/>
        </w:rPr>
      </w:pPr>
      <w:r w:rsidRPr="00B6624C">
        <w:rPr>
          <w:rFonts w:ascii="Times New Roman" w:hAnsi="Times New Roman" w:cs="Times New Roman"/>
          <w:sz w:val="22"/>
          <w:szCs w:val="22"/>
        </w:rPr>
        <w:t> </w:t>
      </w:r>
    </w:p>
    <w:p w14:paraId="615A1448" w14:textId="77777777" w:rsidR="00B6624C" w:rsidRPr="00B6624C" w:rsidRDefault="00B6624C" w:rsidP="00B6624C">
      <w:pPr>
        <w:wordWrap/>
        <w:autoSpaceDE/>
        <w:autoSpaceDN/>
        <w:jc w:val="left"/>
        <w:rPr>
          <w:rFonts w:ascii="Times New Roman" w:hAnsi="Times New Roman" w:cs="Times New Roman"/>
          <w:sz w:val="22"/>
          <w:szCs w:val="22"/>
        </w:rPr>
      </w:pPr>
      <w:r w:rsidRPr="00B6624C">
        <w:rPr>
          <w:rFonts w:ascii="Times New Roman" w:hAnsi="Times New Roman" w:cs="Times New Roman"/>
          <w:i/>
          <w:iCs/>
          <w:color w:val="000000"/>
          <w:shd w:val="clear" w:color="auto" w:fill="00FF00"/>
        </w:rPr>
        <w:t>Agreements</w:t>
      </w:r>
      <w:r w:rsidRPr="00B6624C">
        <w:rPr>
          <w:rFonts w:ascii="Times New Roman" w:hAnsi="Times New Roman" w:cs="Times New Roman"/>
          <w:i/>
          <w:iCs/>
        </w:rPr>
        <w:t> in RAN1#95:</w:t>
      </w:r>
    </w:p>
    <w:p w14:paraId="57C9037E" w14:textId="77777777" w:rsidR="00B6624C" w:rsidRPr="00B6624C" w:rsidRDefault="00B6624C" w:rsidP="00B6624C">
      <w:pPr>
        <w:numPr>
          <w:ilvl w:val="0"/>
          <w:numId w:val="38"/>
        </w:numPr>
        <w:wordWrap/>
        <w:autoSpaceDE/>
        <w:autoSpaceDN/>
        <w:jc w:val="left"/>
        <w:rPr>
          <w:rFonts w:ascii="Times New Roman" w:eastAsia="Times New Roman" w:hAnsi="Times New Roman" w:cs="Times New Roman"/>
          <w:sz w:val="22"/>
          <w:szCs w:val="22"/>
        </w:rPr>
      </w:pPr>
      <w:r w:rsidRPr="00B6624C">
        <w:rPr>
          <w:rFonts w:ascii="Times New Roman" w:eastAsia="Times New Roman" w:hAnsi="Times New Roman" w:cs="Times New Roman"/>
          <w:i/>
          <w:iCs/>
        </w:rPr>
        <w:t>For FDM solutions:</w:t>
      </w:r>
      <w:r w:rsidRPr="00B6624C">
        <w:rPr>
          <w:rFonts w:ascii="Times New Roman" w:eastAsia="Times New Roman" w:hAnsi="Times New Roman" w:cs="Times New Roman"/>
          <w:sz w:val="22"/>
          <w:szCs w:val="22"/>
        </w:rPr>
        <w:t xml:space="preserve"> </w:t>
      </w:r>
    </w:p>
    <w:p w14:paraId="5597E3D8" w14:textId="77777777" w:rsidR="00B6624C" w:rsidRPr="00B6624C" w:rsidRDefault="00B6624C" w:rsidP="00B6624C">
      <w:pPr>
        <w:numPr>
          <w:ilvl w:val="1"/>
          <w:numId w:val="38"/>
        </w:numPr>
        <w:wordWrap/>
        <w:autoSpaceDE/>
        <w:autoSpaceDN/>
        <w:jc w:val="left"/>
        <w:rPr>
          <w:rFonts w:ascii="Times New Roman" w:eastAsia="Times New Roman" w:hAnsi="Times New Roman" w:cs="Times New Roman"/>
          <w:sz w:val="22"/>
          <w:szCs w:val="22"/>
        </w:rPr>
      </w:pPr>
      <w:r w:rsidRPr="00B6624C">
        <w:rPr>
          <w:rFonts w:ascii="Times New Roman" w:eastAsia="Times New Roman" w:hAnsi="Times New Roman" w:cs="Times New Roman"/>
          <w:i/>
          <w:iCs/>
          <w:color w:val="000000"/>
          <w:highlight w:val="yellow"/>
        </w:rPr>
        <w:t xml:space="preserve">For both dynamic and semi-static power allocation solutions, RAN1 assumes synchronization between NR and LTE V2X </w:t>
      </w:r>
      <w:proofErr w:type="spellStart"/>
      <w:r w:rsidRPr="00B6624C">
        <w:rPr>
          <w:rFonts w:ascii="Times New Roman" w:eastAsia="Times New Roman" w:hAnsi="Times New Roman" w:cs="Times New Roman"/>
          <w:i/>
          <w:iCs/>
          <w:color w:val="000000"/>
          <w:highlight w:val="yellow"/>
        </w:rPr>
        <w:t>sidelinks</w:t>
      </w:r>
      <w:proofErr w:type="spellEnd"/>
      <w:r w:rsidRPr="00B6624C">
        <w:rPr>
          <w:rFonts w:ascii="Times New Roman" w:eastAsia="Times New Roman" w:hAnsi="Times New Roman" w:cs="Times New Roman"/>
          <w:i/>
          <w:iCs/>
          <w:color w:val="000000"/>
          <w:highlight w:val="yellow"/>
        </w:rPr>
        <w:t xml:space="preserve">, for a NR V2X UE when NR and LTE V2X </w:t>
      </w:r>
      <w:proofErr w:type="spellStart"/>
      <w:r w:rsidRPr="00B6624C">
        <w:rPr>
          <w:rFonts w:ascii="Times New Roman" w:eastAsia="Times New Roman" w:hAnsi="Times New Roman" w:cs="Times New Roman"/>
          <w:i/>
          <w:iCs/>
          <w:color w:val="000000"/>
          <w:highlight w:val="yellow"/>
        </w:rPr>
        <w:t>sidelinks</w:t>
      </w:r>
      <w:proofErr w:type="spellEnd"/>
      <w:r w:rsidRPr="00B6624C">
        <w:rPr>
          <w:rFonts w:ascii="Times New Roman" w:eastAsia="Times New Roman" w:hAnsi="Times New Roman" w:cs="Times New Roman"/>
          <w:i/>
          <w:iCs/>
          <w:color w:val="000000"/>
          <w:highlight w:val="yellow"/>
        </w:rPr>
        <w:t xml:space="preserve"> are intra-band</w:t>
      </w:r>
      <w:r w:rsidRPr="00B6624C">
        <w:rPr>
          <w:rFonts w:ascii="Times New Roman" w:eastAsia="Times New Roman" w:hAnsi="Times New Roman" w:cs="Times New Roman"/>
          <w:sz w:val="22"/>
          <w:szCs w:val="22"/>
        </w:rPr>
        <w:t xml:space="preserve"> </w:t>
      </w:r>
    </w:p>
    <w:p w14:paraId="3F0CC4F6" w14:textId="77777777" w:rsidR="00B6624C" w:rsidRPr="00B6624C" w:rsidRDefault="00B6624C" w:rsidP="00B6624C">
      <w:pPr>
        <w:numPr>
          <w:ilvl w:val="1"/>
          <w:numId w:val="38"/>
        </w:numPr>
        <w:wordWrap/>
        <w:autoSpaceDE/>
        <w:autoSpaceDN/>
        <w:jc w:val="left"/>
        <w:rPr>
          <w:rFonts w:ascii="Times New Roman" w:eastAsia="Times New Roman" w:hAnsi="Times New Roman" w:cs="Times New Roman"/>
          <w:sz w:val="22"/>
          <w:szCs w:val="22"/>
        </w:rPr>
      </w:pPr>
      <w:r w:rsidRPr="00B6624C">
        <w:rPr>
          <w:rFonts w:ascii="Times New Roman" w:eastAsia="Times New Roman" w:hAnsi="Times New Roman" w:cs="Times New Roman"/>
          <w:i/>
          <w:iCs/>
        </w:rPr>
        <w:t>The case of inter-band is FFS</w:t>
      </w:r>
    </w:p>
    <w:p w14:paraId="07C3E684" w14:textId="195432AB" w:rsidR="00B70C79" w:rsidRDefault="00B6624C" w:rsidP="00B70C79">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rPr>
        <w:t>To operate according to the agreements above</w:t>
      </w:r>
      <w:r w:rsidR="00B70C79">
        <w:rPr>
          <w:rFonts w:ascii="Calibri" w:eastAsiaTheme="minorEastAsia" w:hAnsi="Calibri" w:cs="Calibri"/>
          <w:sz w:val="22"/>
          <w:lang w:val="en-GB"/>
        </w:rPr>
        <w:t>, NR-V2X module of the UE operating on NR-V2X carrier should follow the timing of LTE-V2X module operating on LTE-V2X carrier. Most preferably, it is expected that all the UEs are equipped with both NR-V2X and LTE-V2X modules. That is, there are no NR-V2X only UEs in the area of interest. If NR-V2X module follows the timing of LTE-V2X module, there is no reason not to use the DFN of LTE-V2X for determining the DFN of NR-V2X. Otherwise there is no clear reference for NR-V2X DFN.</w:t>
      </w:r>
    </w:p>
    <w:p w14:paraId="016F0649" w14:textId="77777777" w:rsidR="00B70C79" w:rsidRPr="007C1D8D" w:rsidRDefault="00B70C79" w:rsidP="00B70C79">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 xml:space="preserve">In addition, NR-V2X module is not expected to transmit NR-V2X S-SSB because the NR-V2X module is synchronized to LTE-V2X module. No NR-V2X S-SSB transmission is especially necessary for TDM case. There might be one possible scenario where NR-V2X module may send NR-V2X S-SSB, which is synchronized to LTE-V2X timing used by LTE-V2X module. This may help, if any, NR-V2X only UE also to follow the LTE-V2X timing. However, there is an issue of what information NR-V2X S-SSB should carry in </w:t>
      </w:r>
      <w:r>
        <w:rPr>
          <w:rFonts w:ascii="Calibri" w:eastAsiaTheme="minorEastAsia" w:hAnsi="Calibri" w:cs="Calibri"/>
          <w:sz w:val="22"/>
          <w:lang w:val="en-GB"/>
        </w:rPr>
        <w:lastRenderedPageBreak/>
        <w:t xml:space="preserve">this case. LTE-V2X S-SSB does not give any information on e.g. SLSSID, </w:t>
      </w:r>
      <w:proofErr w:type="spellStart"/>
      <w:r>
        <w:rPr>
          <w:rFonts w:ascii="Calibri" w:eastAsiaTheme="minorEastAsia" w:hAnsi="Calibri" w:cs="Calibri"/>
          <w:sz w:val="22"/>
          <w:lang w:val="en-GB"/>
        </w:rPr>
        <w:t>inCoverage</w:t>
      </w:r>
      <w:proofErr w:type="spellEnd"/>
      <w:r>
        <w:rPr>
          <w:rFonts w:ascii="Calibri" w:eastAsiaTheme="minorEastAsia" w:hAnsi="Calibri" w:cs="Calibri"/>
          <w:sz w:val="22"/>
          <w:lang w:val="en-GB"/>
        </w:rPr>
        <w:t xml:space="preserve"> and TDD configuration for NR-V2X S-SSB. So our preference is not to send NR-V2X S-SSB for in-device coexistence operation.</w:t>
      </w:r>
    </w:p>
    <w:p w14:paraId="1B50D811" w14:textId="639AEDB7" w:rsidR="00B70C79" w:rsidRPr="00611BF4" w:rsidRDefault="00B70C79" w:rsidP="00865418">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2</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Pr>
          <w:rFonts w:ascii="Calibri" w:eastAsiaTheme="minorEastAsia" w:hAnsi="Calibri" w:cs="Calibri"/>
          <w:i/>
          <w:sz w:val="22"/>
        </w:rPr>
        <w:t xml:space="preserve">When </w:t>
      </w:r>
      <w:r w:rsidR="00D02D37">
        <w:rPr>
          <w:rFonts w:ascii="Calibri" w:eastAsiaTheme="minorEastAsia" w:hAnsi="Calibri" w:cs="Calibri"/>
          <w:i/>
          <w:sz w:val="22"/>
        </w:rPr>
        <w:t xml:space="preserve">a UE is configured to operate </w:t>
      </w:r>
      <w:r>
        <w:rPr>
          <w:rFonts w:ascii="Calibri" w:eastAsiaTheme="minorEastAsia" w:hAnsi="Calibri" w:cs="Calibri"/>
          <w:i/>
          <w:sz w:val="22"/>
        </w:rPr>
        <w:t xml:space="preserve">the in-device coexistence between LTE-V2X and NR-V2X, </w:t>
      </w:r>
      <w:r w:rsidR="006B15EF">
        <w:rPr>
          <w:rFonts w:ascii="Calibri" w:eastAsiaTheme="minorEastAsia" w:hAnsi="Calibri" w:cs="Calibri"/>
          <w:i/>
          <w:sz w:val="22"/>
        </w:rPr>
        <w:t>t</w:t>
      </w:r>
      <w:r>
        <w:rPr>
          <w:rFonts w:ascii="Calibri" w:eastAsiaTheme="minorEastAsia" w:hAnsi="Calibri" w:cs="Calibri"/>
          <w:i/>
          <w:sz w:val="22"/>
        </w:rPr>
        <w:t>he SL transmission timing and DFN of NR-V2X are derived from those of LTE-V2X.</w:t>
      </w:r>
      <w:r w:rsidR="006B15EF">
        <w:rPr>
          <w:rFonts w:ascii="Calibri" w:eastAsiaTheme="minorEastAsia" w:hAnsi="Calibri" w:cs="Calibri"/>
          <w:i/>
          <w:sz w:val="22"/>
        </w:rPr>
        <w:t xml:space="preserve"> Send LS to RAN2 to capture the case </w:t>
      </w:r>
      <w:r w:rsidR="006B15EF" w:rsidRPr="006B15EF">
        <w:rPr>
          <w:rFonts w:ascii="Calibri" w:eastAsiaTheme="minorEastAsia" w:hAnsi="Calibri" w:cs="Calibri"/>
          <w:i/>
          <w:sz w:val="22"/>
        </w:rPr>
        <w:t>where</w:t>
      </w:r>
      <w:r w:rsidR="00865418">
        <w:rPr>
          <w:rFonts w:ascii="Calibri" w:eastAsiaTheme="minorEastAsia" w:hAnsi="Calibri" w:cs="Calibri"/>
          <w:i/>
          <w:sz w:val="22"/>
        </w:rPr>
        <w:t xml:space="preserve"> NR V2X </w:t>
      </w:r>
      <w:proofErr w:type="spellStart"/>
      <w:r w:rsidR="00865418">
        <w:rPr>
          <w:rFonts w:ascii="Calibri" w:eastAsiaTheme="minorEastAsia" w:hAnsi="Calibri" w:cs="Calibri"/>
          <w:i/>
          <w:sz w:val="22"/>
        </w:rPr>
        <w:t>sidelink</w:t>
      </w:r>
      <w:proofErr w:type="spellEnd"/>
      <w:r w:rsidR="00865418">
        <w:rPr>
          <w:rFonts w:ascii="Calibri" w:eastAsiaTheme="minorEastAsia" w:hAnsi="Calibri" w:cs="Calibri"/>
          <w:i/>
          <w:sz w:val="22"/>
        </w:rPr>
        <w:t xml:space="preserve"> is </w:t>
      </w:r>
      <w:proofErr w:type="spellStart"/>
      <w:r w:rsidR="00865418">
        <w:rPr>
          <w:rFonts w:ascii="Calibri" w:eastAsiaTheme="minorEastAsia" w:hAnsi="Calibri" w:cs="Calibri"/>
          <w:i/>
          <w:sz w:val="22"/>
        </w:rPr>
        <w:t>sn</w:t>
      </w:r>
      <w:r w:rsidR="00865418">
        <w:rPr>
          <w:rFonts w:ascii="Calibri" w:eastAsiaTheme="minorEastAsia" w:hAnsi="Calibri" w:cs="Calibri"/>
          <w:i/>
          <w:sz w:val="22"/>
        </w:rPr>
        <w:t>ynchronized</w:t>
      </w:r>
      <w:proofErr w:type="spellEnd"/>
      <w:r w:rsidR="00865418">
        <w:rPr>
          <w:rFonts w:ascii="Calibri" w:eastAsiaTheme="minorEastAsia" w:hAnsi="Calibri" w:cs="Calibri"/>
          <w:i/>
          <w:sz w:val="22"/>
        </w:rPr>
        <w:t xml:space="preserve"> with LTE V2X </w:t>
      </w:r>
      <w:proofErr w:type="spellStart"/>
      <w:r w:rsidR="00865418">
        <w:rPr>
          <w:rFonts w:ascii="Calibri" w:eastAsiaTheme="minorEastAsia" w:hAnsi="Calibri" w:cs="Calibri"/>
          <w:i/>
          <w:sz w:val="22"/>
        </w:rPr>
        <w:t>sidelink</w:t>
      </w:r>
      <w:proofErr w:type="spellEnd"/>
      <w:r w:rsidR="00865418">
        <w:rPr>
          <w:rFonts w:ascii="Calibri" w:eastAsiaTheme="minorEastAsia" w:hAnsi="Calibri" w:cs="Calibri"/>
          <w:i/>
          <w:sz w:val="22"/>
        </w:rPr>
        <w:t>.</w:t>
      </w:r>
      <w:r w:rsidR="006B15EF" w:rsidRPr="006B15EF">
        <w:rPr>
          <w:rFonts w:ascii="Calibri" w:eastAsiaTheme="minorEastAsia" w:hAnsi="Calibri" w:cs="Calibri"/>
          <w:i/>
          <w:sz w:val="22"/>
        </w:rPr>
        <w:t xml:space="preserve"> </w:t>
      </w:r>
    </w:p>
    <w:p w14:paraId="7BE92126" w14:textId="77777777" w:rsidR="007341AD" w:rsidRPr="007341AD" w:rsidRDefault="007341AD" w:rsidP="007341AD">
      <w:pPr>
        <w:pStyle w:val="LGTdoc0"/>
        <w:spacing w:before="100" w:beforeAutospacing="1" w:afterAutospacing="1"/>
        <w:ind w:firstLine="425"/>
        <w:rPr>
          <w:rFonts w:ascii="Calibri" w:hAnsi="Calibri"/>
          <w:szCs w:val="22"/>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07AABC52" w14:textId="00108529" w:rsidR="007341AD" w:rsidRDefault="004A1BBD" w:rsidP="007341AD">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sidR="007341AD">
        <w:rPr>
          <w:rFonts w:ascii="Calibri" w:eastAsiaTheme="minorEastAsia" w:hAnsi="Calibri" w:cs="Calibri"/>
          <w:b/>
          <w:i/>
          <w:sz w:val="22"/>
        </w:rPr>
        <w:t xml:space="preserve"> 1</w:t>
      </w:r>
      <w:r w:rsidRPr="00611BF4">
        <w:rPr>
          <w:rFonts w:ascii="Calibri" w:eastAsiaTheme="minorEastAsia" w:hAnsi="Calibri" w:cs="Calibri"/>
          <w:b/>
          <w:i/>
          <w:sz w:val="22"/>
        </w:rPr>
        <w:t>:</w:t>
      </w:r>
      <w:r w:rsidRPr="00611BF4">
        <w:rPr>
          <w:rFonts w:ascii="Calibri" w:eastAsiaTheme="minorEastAsia" w:hAnsi="Calibri" w:cs="Calibri"/>
          <w:i/>
          <w:sz w:val="22"/>
        </w:rPr>
        <w:t xml:space="preserve"> According to the</w:t>
      </w:r>
      <w:r w:rsidR="007341AD">
        <w:rPr>
          <w:rFonts w:ascii="Calibri" w:eastAsiaTheme="minorEastAsia" w:hAnsi="Calibri" w:cs="Calibri"/>
          <w:i/>
          <w:sz w:val="22"/>
        </w:rPr>
        <w:t xml:space="preserve"> following</w:t>
      </w:r>
      <w:r w:rsidRPr="00611BF4">
        <w:rPr>
          <w:rFonts w:ascii="Calibri" w:eastAsiaTheme="minorEastAsia" w:hAnsi="Calibri" w:cs="Calibri"/>
          <w:i/>
          <w:sz w:val="22"/>
        </w:rPr>
        <w:t xml:space="preserve"> agreement</w:t>
      </w:r>
      <w:r w:rsidR="007341AD">
        <w:rPr>
          <w:rFonts w:ascii="Calibri" w:eastAsiaTheme="minorEastAsia" w:hAnsi="Calibri" w:cs="Calibri"/>
          <w:i/>
          <w:sz w:val="22"/>
        </w:rPr>
        <w:t>s</w:t>
      </w:r>
      <w:r w:rsidRPr="00611BF4">
        <w:rPr>
          <w:rFonts w:ascii="Calibri" w:eastAsiaTheme="minorEastAsia" w:hAnsi="Calibri" w:cs="Calibri"/>
          <w:i/>
          <w:sz w:val="22"/>
        </w:rPr>
        <w:t xml:space="preserve"> made in RAN1</w:t>
      </w:r>
      <w:r w:rsidR="007341AD">
        <w:rPr>
          <w:rFonts w:ascii="Calibri" w:eastAsiaTheme="minorEastAsia" w:hAnsi="Calibri" w:cs="Calibri"/>
          <w:i/>
          <w:sz w:val="22"/>
        </w:rPr>
        <w:t xml:space="preserve"> </w:t>
      </w:r>
      <w:r w:rsidRPr="00611BF4">
        <w:rPr>
          <w:rFonts w:ascii="Calibri" w:eastAsiaTheme="minorEastAsia" w:hAnsi="Calibri" w:cs="Calibri"/>
          <w:i/>
          <w:sz w:val="22"/>
        </w:rPr>
        <w:t xml:space="preserve">#1901 </w:t>
      </w:r>
      <w:proofErr w:type="spellStart"/>
      <w:r w:rsidRPr="00611BF4">
        <w:rPr>
          <w:rFonts w:ascii="Calibri" w:eastAsiaTheme="minorEastAsia" w:hAnsi="Calibri" w:cs="Calibri"/>
          <w:i/>
          <w:sz w:val="22"/>
        </w:rPr>
        <w:t>adhoc</w:t>
      </w:r>
      <w:proofErr w:type="spellEnd"/>
      <w:r w:rsidRPr="00611BF4">
        <w:rPr>
          <w:rFonts w:ascii="Calibri" w:eastAsiaTheme="minorEastAsia" w:hAnsi="Calibri" w:cs="Calibri"/>
          <w:i/>
          <w:sz w:val="22"/>
        </w:rPr>
        <w:t xml:space="preserve"> </w:t>
      </w:r>
      <w:r w:rsidR="007341AD">
        <w:rPr>
          <w:rFonts w:ascii="Calibri" w:eastAsiaTheme="minorEastAsia" w:hAnsi="Calibri" w:cs="Calibri"/>
          <w:i/>
          <w:sz w:val="22"/>
        </w:rPr>
        <w:t>and RAN1 #96 meeting</w:t>
      </w:r>
      <w:r w:rsidRPr="00611BF4">
        <w:rPr>
          <w:rFonts w:ascii="Calibri" w:eastAsiaTheme="minorEastAsia" w:hAnsi="Calibri" w:cs="Calibri"/>
          <w:i/>
          <w:sz w:val="22"/>
        </w:rPr>
        <w:t xml:space="preserve">, the following TP </w:t>
      </w:r>
      <w:r w:rsidR="007341AD">
        <w:rPr>
          <w:rFonts w:ascii="Calibri" w:eastAsiaTheme="minorEastAsia" w:hAnsi="Calibri" w:cs="Calibri"/>
          <w:i/>
          <w:sz w:val="22"/>
        </w:rPr>
        <w:t xml:space="preserve">regarding the in-device coexistence operation </w:t>
      </w:r>
      <w:r w:rsidRPr="00611BF4">
        <w:rPr>
          <w:rFonts w:ascii="Calibri" w:eastAsiaTheme="minorEastAsia" w:hAnsi="Calibri" w:cs="Calibri"/>
          <w:i/>
          <w:sz w:val="22"/>
        </w:rPr>
        <w:t>is included in TS38.213.</w:t>
      </w:r>
    </w:p>
    <w:p w14:paraId="7FC344B9" w14:textId="77777777" w:rsidR="007341AD" w:rsidRPr="001F722F" w:rsidRDefault="007341AD" w:rsidP="007341AD">
      <w:pPr>
        <w:rPr>
          <w:rFonts w:ascii="Times New Roman" w:hAnsi="Times New Roman" w:cs="Times New Roman"/>
          <w:b/>
          <w:i/>
          <w:lang w:eastAsia="x-none"/>
        </w:rPr>
      </w:pPr>
      <w:r w:rsidRPr="001F722F">
        <w:rPr>
          <w:rFonts w:ascii="Times New Roman" w:hAnsi="Times New Roman" w:cs="Times New Roman"/>
          <w:i/>
          <w:highlight w:val="green"/>
          <w:lang w:eastAsia="x-none"/>
        </w:rPr>
        <w:t>Agreements</w:t>
      </w:r>
      <w:r w:rsidRPr="001F722F">
        <w:rPr>
          <w:rFonts w:ascii="Times New Roman" w:hAnsi="Times New Roman" w:cs="Times New Roman"/>
          <w:b/>
          <w:i/>
          <w:lang w:eastAsia="x-none"/>
        </w:rPr>
        <w:t>:</w:t>
      </w:r>
    </w:p>
    <w:p w14:paraId="01306F83" w14:textId="77777777" w:rsidR="007341AD" w:rsidRPr="001F722F" w:rsidRDefault="007341AD" w:rsidP="007341AD">
      <w:pPr>
        <w:pStyle w:val="af4"/>
        <w:widowControl/>
        <w:numPr>
          <w:ilvl w:val="0"/>
          <w:numId w:val="32"/>
        </w:numPr>
        <w:wordWrap/>
        <w:autoSpaceDE/>
        <w:autoSpaceDN/>
        <w:spacing w:before="0" w:after="0" w:line="240" w:lineRule="auto"/>
        <w:ind w:leftChars="0"/>
        <w:contextualSpacing/>
        <w:jc w:val="left"/>
        <w:rPr>
          <w:rFonts w:ascii="Times New Roman" w:hAnsi="Times New Roman"/>
          <w:i/>
          <w:color w:val="000000"/>
          <w:szCs w:val="20"/>
        </w:rPr>
      </w:pPr>
      <w:r w:rsidRPr="001F722F">
        <w:rPr>
          <w:rFonts w:ascii="Times New Roman" w:hAnsi="Times New Roman"/>
          <w:i/>
          <w:color w:val="000000"/>
          <w:szCs w:val="20"/>
          <w:highlight w:val="yellow"/>
        </w:rPr>
        <w:t>For TDM solutions for in-device coexistence between LTE and NR V2X</w:t>
      </w:r>
      <w:r w:rsidRPr="001F722F">
        <w:rPr>
          <w:rFonts w:ascii="Times New Roman" w:hAnsi="Times New Roman"/>
          <w:i/>
          <w:color w:val="000000"/>
          <w:szCs w:val="20"/>
        </w:rPr>
        <w:t>:</w:t>
      </w:r>
    </w:p>
    <w:p w14:paraId="3A32A345" w14:textId="77777777" w:rsidR="007341AD" w:rsidRPr="001F722F" w:rsidRDefault="007341AD" w:rsidP="007341AD">
      <w:pPr>
        <w:pStyle w:val="af4"/>
        <w:widowControl/>
        <w:numPr>
          <w:ilvl w:val="1"/>
          <w:numId w:val="32"/>
        </w:numPr>
        <w:wordWrap/>
        <w:autoSpaceDE/>
        <w:autoSpaceDN/>
        <w:spacing w:before="0" w:after="0" w:line="240" w:lineRule="auto"/>
        <w:ind w:leftChars="0"/>
        <w:contextualSpacing/>
        <w:jc w:val="left"/>
        <w:rPr>
          <w:rFonts w:ascii="Times New Roman" w:hAnsi="Times New Roman"/>
          <w:i/>
          <w:color w:val="000000"/>
          <w:szCs w:val="20"/>
        </w:rPr>
      </w:pPr>
      <w:r w:rsidRPr="001F722F">
        <w:rPr>
          <w:rFonts w:ascii="Times New Roman" w:hAnsi="Times New Roman"/>
          <w:i/>
          <w:color w:val="000000"/>
          <w:szCs w:val="20"/>
        </w:rPr>
        <w:t>Time Alignment</w:t>
      </w:r>
    </w:p>
    <w:p w14:paraId="43AE6E20" w14:textId="77777777" w:rsidR="007341AD" w:rsidRPr="001F722F" w:rsidRDefault="007341AD" w:rsidP="007341AD">
      <w:pPr>
        <w:pStyle w:val="af4"/>
        <w:widowControl/>
        <w:numPr>
          <w:ilvl w:val="2"/>
          <w:numId w:val="32"/>
        </w:numPr>
        <w:wordWrap/>
        <w:autoSpaceDE/>
        <w:autoSpaceDN/>
        <w:spacing w:before="0" w:after="0" w:line="240" w:lineRule="auto"/>
        <w:ind w:leftChars="0"/>
        <w:contextualSpacing/>
        <w:jc w:val="left"/>
        <w:rPr>
          <w:rFonts w:ascii="Times New Roman" w:eastAsia="SimSun" w:hAnsi="Times New Roman"/>
          <w:i/>
          <w:color w:val="000000"/>
          <w:szCs w:val="20"/>
          <w:lang w:eastAsia="en-US"/>
        </w:rPr>
      </w:pPr>
      <w:proofErr w:type="spellStart"/>
      <w:r w:rsidRPr="001F722F">
        <w:rPr>
          <w:rFonts w:ascii="Times New Roman" w:eastAsia="DengXian" w:hAnsi="Times New Roman"/>
          <w:i/>
          <w:szCs w:val="20"/>
          <w:highlight w:val="yellow"/>
          <w:lang w:eastAsia="zh-CN"/>
        </w:rPr>
        <w:t>Subframe</w:t>
      </w:r>
      <w:proofErr w:type="spellEnd"/>
      <w:r w:rsidRPr="001F722F">
        <w:rPr>
          <w:rFonts w:ascii="Times New Roman" w:eastAsia="DengXian" w:hAnsi="Times New Roman"/>
          <w:i/>
          <w:szCs w:val="20"/>
          <w:highlight w:val="yellow"/>
          <w:lang w:eastAsia="zh-CN"/>
        </w:rPr>
        <w:t xml:space="preserve"> boundary alignment is required between LTE and NR V2X </w:t>
      </w:r>
      <w:proofErr w:type="spellStart"/>
      <w:r w:rsidRPr="001F722F">
        <w:rPr>
          <w:rFonts w:ascii="Times New Roman" w:eastAsia="DengXian" w:hAnsi="Times New Roman"/>
          <w:i/>
          <w:szCs w:val="20"/>
          <w:highlight w:val="yellow"/>
          <w:lang w:eastAsia="zh-CN"/>
        </w:rPr>
        <w:t>sidelinks</w:t>
      </w:r>
      <w:proofErr w:type="spellEnd"/>
    </w:p>
    <w:p w14:paraId="15C3A1B0" w14:textId="77777777" w:rsidR="007341AD" w:rsidRPr="001F722F" w:rsidRDefault="007341AD" w:rsidP="007341AD">
      <w:pPr>
        <w:pStyle w:val="af4"/>
        <w:widowControl/>
        <w:numPr>
          <w:ilvl w:val="2"/>
          <w:numId w:val="32"/>
        </w:numPr>
        <w:wordWrap/>
        <w:autoSpaceDE/>
        <w:autoSpaceDN/>
        <w:spacing w:before="0" w:after="0" w:line="240" w:lineRule="auto"/>
        <w:ind w:leftChars="0"/>
        <w:contextualSpacing/>
        <w:jc w:val="left"/>
        <w:rPr>
          <w:rFonts w:ascii="Times New Roman" w:hAnsi="Times New Roman"/>
          <w:i/>
          <w:color w:val="000000"/>
          <w:szCs w:val="20"/>
        </w:rPr>
      </w:pPr>
      <w:r w:rsidRPr="001F722F">
        <w:rPr>
          <w:rFonts w:ascii="Times New Roman" w:eastAsia="DengXian" w:hAnsi="Times New Roman"/>
          <w:i/>
          <w:szCs w:val="20"/>
          <w:lang w:eastAsia="zh-CN"/>
        </w:rPr>
        <w:t xml:space="preserve">Both LTE and NR V2X </w:t>
      </w:r>
      <w:proofErr w:type="spellStart"/>
      <w:r w:rsidRPr="001F722F">
        <w:rPr>
          <w:rFonts w:ascii="Times New Roman" w:eastAsia="DengXian" w:hAnsi="Times New Roman"/>
          <w:i/>
          <w:szCs w:val="20"/>
          <w:lang w:eastAsia="zh-CN"/>
        </w:rPr>
        <w:t>sidelinks</w:t>
      </w:r>
      <w:proofErr w:type="spellEnd"/>
      <w:r w:rsidRPr="001F722F">
        <w:rPr>
          <w:rFonts w:ascii="Times New Roman" w:eastAsia="DengXian" w:hAnsi="Times New Roman"/>
          <w:i/>
          <w:szCs w:val="20"/>
          <w:lang w:eastAsia="zh-CN"/>
        </w:rPr>
        <w:t xml:space="preserve"> are aware of the time resource index (e.g., DFN for LTE) in both carriers</w:t>
      </w:r>
    </w:p>
    <w:p w14:paraId="67CDCD3B" w14:textId="77777777" w:rsidR="007341AD" w:rsidRPr="001F722F" w:rsidRDefault="007341AD" w:rsidP="007341AD">
      <w:pPr>
        <w:wordWrap/>
        <w:autoSpaceDE/>
        <w:jc w:val="left"/>
        <w:rPr>
          <w:rFonts w:ascii="Times New Roman" w:hAnsi="Times New Roman" w:cs="Times New Roman"/>
          <w:b/>
          <w:bCs/>
          <w:i/>
          <w:iCs/>
          <w:lang w:val="en-GB" w:eastAsia="x-none"/>
        </w:rPr>
      </w:pPr>
      <w:r w:rsidRPr="001F722F">
        <w:rPr>
          <w:rFonts w:ascii="Times New Roman" w:hAnsi="Times New Roman" w:cs="Times New Roman"/>
          <w:i/>
          <w:iCs/>
          <w:highlight w:val="green"/>
          <w:lang w:val="en-GB" w:eastAsia="x-none"/>
        </w:rPr>
        <w:t>Agreements</w:t>
      </w:r>
      <w:r w:rsidRPr="001F722F">
        <w:rPr>
          <w:rFonts w:ascii="Times New Roman" w:hAnsi="Times New Roman" w:cs="Times New Roman"/>
          <w:b/>
          <w:bCs/>
          <w:i/>
          <w:iCs/>
          <w:lang w:val="en-GB" w:eastAsia="x-none"/>
        </w:rPr>
        <w:t>:</w:t>
      </w:r>
    </w:p>
    <w:p w14:paraId="04A7F769" w14:textId="77777777" w:rsidR="007341AD" w:rsidRPr="001F722F" w:rsidRDefault="007341AD" w:rsidP="007341AD">
      <w:pPr>
        <w:numPr>
          <w:ilvl w:val="0"/>
          <w:numId w:val="32"/>
        </w:numPr>
        <w:wordWrap/>
        <w:autoSpaceDE/>
        <w:jc w:val="left"/>
        <w:rPr>
          <w:rFonts w:ascii="Times New Roman" w:hAnsi="Times New Roman" w:cs="Times New Roman"/>
          <w:i/>
          <w:iCs/>
          <w:color w:val="000000"/>
          <w:lang w:val="en-GB" w:eastAsia="x-none"/>
        </w:rPr>
      </w:pPr>
      <w:r w:rsidRPr="001F722F">
        <w:rPr>
          <w:rFonts w:ascii="Times New Roman" w:hAnsi="Times New Roman" w:cs="Times New Roman"/>
          <w:i/>
          <w:iCs/>
          <w:color w:val="000000"/>
          <w:highlight w:val="yellow"/>
          <w:lang w:val="en-GB" w:eastAsia="x-none"/>
        </w:rPr>
        <w:t>For intra-band and inter-band FDM</w:t>
      </w:r>
      <w:r w:rsidRPr="001F722F">
        <w:rPr>
          <w:rFonts w:ascii="Times New Roman" w:hAnsi="Times New Roman" w:cs="Times New Roman"/>
          <w:i/>
          <w:iCs/>
          <w:color w:val="000000"/>
          <w:lang w:val="en-GB" w:eastAsia="x-none"/>
        </w:rPr>
        <w:t xml:space="preserve"> dynamic power sharing solutions, the following additional conditions apply:</w:t>
      </w:r>
    </w:p>
    <w:p w14:paraId="3ACB33B0" w14:textId="77777777" w:rsidR="007341AD" w:rsidRPr="001F722F" w:rsidRDefault="007341AD" w:rsidP="007341AD">
      <w:pPr>
        <w:numPr>
          <w:ilvl w:val="1"/>
          <w:numId w:val="32"/>
        </w:numPr>
        <w:wordWrap/>
        <w:autoSpaceDE/>
        <w:jc w:val="left"/>
        <w:rPr>
          <w:rFonts w:ascii="Times New Roman" w:hAnsi="Times New Roman" w:cs="Times New Roman"/>
          <w:i/>
          <w:iCs/>
          <w:color w:val="000000"/>
          <w:lang w:val="en-GB" w:eastAsia="x-none"/>
        </w:rPr>
      </w:pPr>
      <w:proofErr w:type="spellStart"/>
      <w:r w:rsidRPr="001F722F">
        <w:rPr>
          <w:rFonts w:ascii="Times New Roman" w:hAnsi="Times New Roman" w:cs="Times New Roman"/>
          <w:i/>
          <w:iCs/>
          <w:highlight w:val="yellow"/>
          <w:lang w:val="en-GB" w:eastAsia="zh-CN"/>
        </w:rPr>
        <w:t>Subframe</w:t>
      </w:r>
      <w:proofErr w:type="spellEnd"/>
      <w:r w:rsidRPr="001F722F">
        <w:rPr>
          <w:rFonts w:ascii="Times New Roman" w:hAnsi="Times New Roman" w:cs="Times New Roman"/>
          <w:i/>
          <w:iCs/>
          <w:highlight w:val="yellow"/>
          <w:lang w:val="en-GB" w:eastAsia="zh-CN"/>
        </w:rPr>
        <w:t xml:space="preserve"> boundary alignment is required between LTE and NR V2X </w:t>
      </w:r>
      <w:proofErr w:type="spellStart"/>
      <w:r w:rsidRPr="001F722F">
        <w:rPr>
          <w:rFonts w:ascii="Times New Roman" w:hAnsi="Times New Roman" w:cs="Times New Roman"/>
          <w:i/>
          <w:iCs/>
          <w:highlight w:val="yellow"/>
          <w:lang w:val="en-GB" w:eastAsia="zh-CN"/>
        </w:rPr>
        <w:t>sidelinks</w:t>
      </w:r>
      <w:proofErr w:type="spellEnd"/>
    </w:p>
    <w:p w14:paraId="208AB7CA" w14:textId="77777777" w:rsidR="007341AD" w:rsidRPr="001F722F" w:rsidRDefault="007341AD" w:rsidP="007341AD">
      <w:pPr>
        <w:numPr>
          <w:ilvl w:val="1"/>
          <w:numId w:val="32"/>
        </w:numPr>
        <w:wordWrap/>
        <w:autoSpaceDE/>
        <w:jc w:val="left"/>
        <w:rPr>
          <w:rFonts w:ascii="Times New Roman" w:hAnsi="Times New Roman" w:cs="Times New Roman"/>
          <w:i/>
          <w:iCs/>
          <w:color w:val="000000"/>
          <w:lang w:val="en-GB" w:eastAsia="x-none"/>
        </w:rPr>
      </w:pPr>
      <w:r w:rsidRPr="001F722F">
        <w:rPr>
          <w:rFonts w:ascii="Times New Roman" w:hAnsi="Times New Roman" w:cs="Times New Roman"/>
          <w:i/>
          <w:iCs/>
          <w:lang w:val="en-GB" w:eastAsia="zh-CN"/>
        </w:rPr>
        <w:t xml:space="preserve">Both LTE and NR V2X </w:t>
      </w:r>
      <w:proofErr w:type="spellStart"/>
      <w:r w:rsidRPr="001F722F">
        <w:rPr>
          <w:rFonts w:ascii="Times New Roman" w:hAnsi="Times New Roman" w:cs="Times New Roman"/>
          <w:i/>
          <w:iCs/>
          <w:lang w:val="en-GB" w:eastAsia="zh-CN"/>
        </w:rPr>
        <w:t>sidelinks</w:t>
      </w:r>
      <w:proofErr w:type="spellEnd"/>
      <w:r w:rsidRPr="001F722F">
        <w:rPr>
          <w:rFonts w:ascii="Times New Roman" w:hAnsi="Times New Roman" w:cs="Times New Roman"/>
          <w:i/>
          <w:iCs/>
          <w:lang w:val="en-GB" w:eastAsia="zh-CN"/>
        </w:rPr>
        <w:t xml:space="preserve"> are aware of the time resource index (e.g., DFN for LTE) in both carriers</w:t>
      </w:r>
    </w:p>
    <w:p w14:paraId="7848C5E4" w14:textId="0ECEDEFB" w:rsidR="004A1BBD" w:rsidRPr="00506057" w:rsidRDefault="004A1BBD" w:rsidP="004A1BBD">
      <w:pPr>
        <w:wordWrap/>
        <w:autoSpaceDE/>
        <w:autoSpaceDN/>
        <w:contextualSpacing/>
        <w:jc w:val="left"/>
        <w:rPr>
          <w:rFonts w:ascii="Times New Roman" w:hAnsi="Times New Roman"/>
          <w:i/>
          <w:color w:val="000000"/>
        </w:rPr>
      </w:pPr>
    </w:p>
    <w:tbl>
      <w:tblPr>
        <w:tblStyle w:val="aa"/>
        <w:tblW w:w="0" w:type="auto"/>
        <w:tblLook w:val="04A0" w:firstRow="1" w:lastRow="0" w:firstColumn="1" w:lastColumn="0" w:noHBand="0" w:noVBand="1"/>
      </w:tblPr>
      <w:tblGrid>
        <w:gridCol w:w="9362"/>
      </w:tblGrid>
      <w:tr w:rsidR="004A1BBD" w14:paraId="005B84F1" w14:textId="77777777" w:rsidTr="00A7275E">
        <w:trPr>
          <w:trHeight w:val="1589"/>
        </w:trPr>
        <w:tc>
          <w:tcPr>
            <w:tcW w:w="9362" w:type="dxa"/>
          </w:tcPr>
          <w:p w14:paraId="496F8AAF" w14:textId="77777777" w:rsidR="004F3632" w:rsidRPr="007F4B4B" w:rsidRDefault="004F3632" w:rsidP="004F3632">
            <w:pPr>
              <w:keepNext/>
              <w:keepLines/>
              <w:widowControl/>
              <w:wordWrap/>
              <w:autoSpaceDE/>
              <w:autoSpaceDN/>
              <w:spacing w:after="180"/>
              <w:jc w:val="left"/>
              <w:outlineLvl w:val="1"/>
              <w:rPr>
                <w:rFonts w:ascii="Arial" w:eastAsia="DengXian" w:hAnsi="Arial"/>
                <w:color w:val="C00000"/>
                <w:sz w:val="32"/>
              </w:rPr>
            </w:pPr>
            <w:r w:rsidRPr="007F4B4B">
              <w:rPr>
                <w:rFonts w:ascii="Arial" w:eastAsia="DengXian" w:hAnsi="Arial" w:cs="Times New Roman"/>
                <w:color w:val="C00000"/>
                <w:sz w:val="32"/>
                <w:lang w:val="en-GB" w:eastAsia="en-US"/>
              </w:rPr>
              <w:t>16</w:t>
            </w:r>
            <w:r w:rsidRPr="007F4B4B">
              <w:rPr>
                <w:rFonts w:ascii="Arial" w:eastAsia="DengXian" w:hAnsi="Arial"/>
                <w:color w:val="C00000"/>
                <w:sz w:val="32"/>
              </w:rPr>
              <w:t>.2.X</w:t>
            </w:r>
            <w:r w:rsidRPr="007F4B4B">
              <w:rPr>
                <w:rFonts w:ascii="Arial" w:eastAsia="DengXian" w:hAnsi="Arial"/>
                <w:color w:val="C00000"/>
                <w:sz w:val="32"/>
              </w:rPr>
              <w:tab/>
              <w:t>Operation for in-device coexistence</w:t>
            </w:r>
          </w:p>
          <w:p w14:paraId="55CEFA0C" w14:textId="7C2A0D8C" w:rsidR="004A1BBD" w:rsidRPr="00F52769" w:rsidRDefault="004F3632" w:rsidP="004C2317">
            <w:pPr>
              <w:wordWrap/>
              <w:autoSpaceDE/>
              <w:autoSpaceDN/>
              <w:contextualSpacing/>
              <w:jc w:val="left"/>
              <w:rPr>
                <w:rFonts w:ascii="Times New Roman" w:hAnsi="Times New Roman"/>
                <w:i/>
                <w:color w:val="000000"/>
              </w:rPr>
            </w:pPr>
            <w:r w:rsidRPr="007F4B4B">
              <w:rPr>
                <w:rFonts w:ascii="Times New Roman" w:eastAsia="SimSun" w:hAnsi="Times New Roman" w:cs="Times New Roman"/>
                <w:color w:val="C00000"/>
                <w:lang w:eastAsia="zh-CN"/>
              </w:rPr>
              <w:t xml:space="preserve">If a UE </w:t>
            </w:r>
            <w:r w:rsidRPr="007F4B4B">
              <w:rPr>
                <w:rFonts w:ascii="Times New Roman" w:hAnsi="Times New Roman" w:cs="Times New Roman"/>
                <w:bCs/>
                <w:color w:val="C00000"/>
                <w:kern w:val="32"/>
                <w:lang w:eastAsia="zh-CN"/>
              </w:rPr>
              <w:t>is configured to operate in in-device coexistence mode between a first channel/signal using</w:t>
            </w:r>
            <w:r w:rsidRPr="007F4B4B">
              <w:rPr>
                <w:rFonts w:ascii="Times New Roman" w:hAnsi="Times New Roman" w:cs="Times New Roman"/>
                <w:color w:val="C00000"/>
              </w:rPr>
              <w:t xml:space="preserve"> E-UTRA radio access</w:t>
            </w:r>
            <w:r w:rsidRPr="007F4B4B">
              <w:rPr>
                <w:rFonts w:ascii="Times New Roman" w:hAnsi="Times New Roman" w:cs="Times New Roman"/>
                <w:bCs/>
                <w:color w:val="C00000"/>
                <w:kern w:val="32"/>
                <w:lang w:eastAsia="zh-CN"/>
              </w:rPr>
              <w:t xml:space="preserve"> and a second channel/signal using NR radio access, </w:t>
            </w:r>
            <w:r w:rsidRPr="007F4B4B">
              <w:rPr>
                <w:rFonts w:ascii="Times New Roman" w:hAnsi="Times New Roman" w:cs="Times New Roman"/>
                <w:color w:val="C00000"/>
              </w:rPr>
              <w:t>the UE transmits or receives the channel/signal</w:t>
            </w:r>
            <w:r w:rsidR="004C2317">
              <w:rPr>
                <w:rFonts w:ascii="Times New Roman" w:hAnsi="Times New Roman" w:cs="Times New Roman"/>
                <w:color w:val="C00000"/>
              </w:rPr>
              <w:t>,</w:t>
            </w:r>
            <w:r w:rsidRPr="007F4B4B">
              <w:rPr>
                <w:rFonts w:ascii="Times New Roman" w:hAnsi="Times New Roman" w:cs="Times New Roman"/>
                <w:color w:val="C00000"/>
              </w:rPr>
              <w:t xml:space="preserve"> </w:t>
            </w:r>
            <w:r w:rsidR="004C2317">
              <w:rPr>
                <w:rFonts w:ascii="Times New Roman" w:hAnsi="Times New Roman" w:cs="Times New Roman"/>
                <w:color w:val="C00000"/>
              </w:rPr>
              <w:t>of which</w:t>
            </w:r>
            <w:r w:rsidRPr="007F4B4B">
              <w:rPr>
                <w:rFonts w:ascii="Times New Roman" w:hAnsi="Times New Roman" w:cs="Times New Roman"/>
                <w:color w:val="C00000"/>
              </w:rPr>
              <w:t xml:space="preserve"> the </w:t>
            </w:r>
            <w:proofErr w:type="spellStart"/>
            <w:r w:rsidRPr="007F4B4B">
              <w:rPr>
                <w:rFonts w:ascii="Times New Roman" w:hAnsi="Times New Roman" w:cs="Times New Roman"/>
                <w:color w:val="C00000"/>
              </w:rPr>
              <w:t>subframe</w:t>
            </w:r>
            <w:proofErr w:type="spellEnd"/>
            <w:r w:rsidRPr="007F4B4B">
              <w:rPr>
                <w:rFonts w:ascii="Times New Roman" w:hAnsi="Times New Roman" w:cs="Times New Roman"/>
                <w:color w:val="C00000"/>
              </w:rPr>
              <w:t xml:space="preserve"> boundary of the first channel/signal using E-UTRA radio access is aligned with the </w:t>
            </w:r>
            <w:proofErr w:type="spellStart"/>
            <w:r w:rsidRPr="007F4B4B">
              <w:rPr>
                <w:rFonts w:ascii="Times New Roman" w:hAnsi="Times New Roman" w:cs="Times New Roman"/>
                <w:color w:val="C00000"/>
              </w:rPr>
              <w:t>subframe</w:t>
            </w:r>
            <w:proofErr w:type="spellEnd"/>
            <w:r w:rsidRPr="007F4B4B">
              <w:rPr>
                <w:rFonts w:ascii="Times New Roman" w:hAnsi="Times New Roman" w:cs="Times New Roman"/>
                <w:color w:val="C00000"/>
              </w:rPr>
              <w:t xml:space="preserve"> boundary of the second channel/signal using NR radio access.</w:t>
            </w:r>
          </w:p>
        </w:tc>
      </w:tr>
    </w:tbl>
    <w:p w14:paraId="5207B837" w14:textId="77777777" w:rsidR="004A1BBD" w:rsidRDefault="004A1BBD" w:rsidP="004A1BBD">
      <w:pPr>
        <w:wordWrap/>
        <w:autoSpaceDE/>
        <w:autoSpaceDN/>
        <w:contextualSpacing/>
        <w:jc w:val="left"/>
        <w:rPr>
          <w:rFonts w:ascii="Times New Roman" w:hAnsi="Times New Roman"/>
          <w:i/>
          <w:color w:val="000000"/>
        </w:rPr>
      </w:pPr>
    </w:p>
    <w:p w14:paraId="4A56C1D5" w14:textId="399AA5C6" w:rsidR="00D02D37" w:rsidRPr="00611BF4" w:rsidRDefault="00D02D37" w:rsidP="00D02D37">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2</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sidR="004C2317">
        <w:rPr>
          <w:rFonts w:ascii="Calibri" w:eastAsiaTheme="minorEastAsia" w:hAnsi="Calibri" w:cs="Calibri"/>
          <w:i/>
          <w:sz w:val="22"/>
        </w:rPr>
        <w:t xml:space="preserve">When a UE is configured to operate the in-device coexistence between LTE-V2X and NR-V2X, the SL transmission timing and DFN of NR-V2X are derived from those of LTE-V2X. Send LS to RAN2 to capture the case </w:t>
      </w:r>
      <w:r w:rsidR="004C2317" w:rsidRPr="006B15EF">
        <w:rPr>
          <w:rFonts w:ascii="Calibri" w:eastAsiaTheme="minorEastAsia" w:hAnsi="Calibri" w:cs="Calibri"/>
          <w:i/>
          <w:sz w:val="22"/>
        </w:rPr>
        <w:t>where</w:t>
      </w:r>
      <w:r w:rsidR="004C2317">
        <w:rPr>
          <w:rFonts w:ascii="Calibri" w:eastAsiaTheme="minorEastAsia" w:hAnsi="Calibri" w:cs="Calibri"/>
          <w:i/>
          <w:sz w:val="22"/>
        </w:rPr>
        <w:t xml:space="preserve"> NR V2X </w:t>
      </w:r>
      <w:proofErr w:type="spellStart"/>
      <w:r w:rsidR="004C2317">
        <w:rPr>
          <w:rFonts w:ascii="Calibri" w:eastAsiaTheme="minorEastAsia" w:hAnsi="Calibri" w:cs="Calibri"/>
          <w:i/>
          <w:sz w:val="22"/>
        </w:rPr>
        <w:t>sidelink</w:t>
      </w:r>
      <w:proofErr w:type="spellEnd"/>
      <w:r w:rsidR="004C2317">
        <w:rPr>
          <w:rFonts w:ascii="Calibri" w:eastAsiaTheme="minorEastAsia" w:hAnsi="Calibri" w:cs="Calibri"/>
          <w:i/>
          <w:sz w:val="22"/>
        </w:rPr>
        <w:t xml:space="preserve"> is </w:t>
      </w:r>
      <w:proofErr w:type="spellStart"/>
      <w:r w:rsidR="004C2317">
        <w:rPr>
          <w:rFonts w:ascii="Calibri" w:eastAsiaTheme="minorEastAsia" w:hAnsi="Calibri" w:cs="Calibri"/>
          <w:i/>
          <w:sz w:val="22"/>
        </w:rPr>
        <w:t>snynchronized</w:t>
      </w:r>
      <w:proofErr w:type="spellEnd"/>
      <w:r w:rsidR="004C2317">
        <w:rPr>
          <w:rFonts w:ascii="Calibri" w:eastAsiaTheme="minorEastAsia" w:hAnsi="Calibri" w:cs="Calibri"/>
          <w:i/>
          <w:sz w:val="22"/>
        </w:rPr>
        <w:t xml:space="preserve"> with LTE V2X </w:t>
      </w:r>
      <w:proofErr w:type="spellStart"/>
      <w:r w:rsidR="004C2317">
        <w:rPr>
          <w:rFonts w:ascii="Calibri" w:eastAsiaTheme="minorEastAsia" w:hAnsi="Calibri" w:cs="Calibri"/>
          <w:i/>
          <w:sz w:val="22"/>
        </w:rPr>
        <w:t>sidelink</w:t>
      </w:r>
      <w:proofErr w:type="spellEnd"/>
      <w:r w:rsidR="004C2317">
        <w:rPr>
          <w:rFonts w:ascii="Calibri" w:eastAsiaTheme="minorEastAsia" w:hAnsi="Calibri" w:cs="Calibri"/>
          <w:i/>
          <w:sz w:val="22"/>
        </w:rPr>
        <w:t>.</w:t>
      </w:r>
      <w:bookmarkStart w:id="2" w:name="_GoBack"/>
      <w:bookmarkEnd w:id="2"/>
    </w:p>
    <w:p w14:paraId="3E5C016E" w14:textId="278FF85C" w:rsidR="00D02D37" w:rsidRPr="00611BF4" w:rsidRDefault="00D02D37" w:rsidP="00D02D37">
      <w:pPr>
        <w:spacing w:before="100" w:beforeAutospacing="1" w:after="120" w:line="264" w:lineRule="auto"/>
        <w:rPr>
          <w:rFonts w:ascii="Calibri" w:eastAsiaTheme="minorEastAsia" w:hAnsi="Calibri" w:cs="Calibri"/>
          <w:i/>
          <w:sz w:val="22"/>
        </w:rPr>
      </w:pPr>
    </w:p>
    <w:p w14:paraId="7BD57D6C" w14:textId="77777777" w:rsidR="00AF1D9E" w:rsidRPr="00D02D37" w:rsidRDefault="00AF1D9E" w:rsidP="004A1BBD">
      <w:pPr>
        <w:spacing w:before="100" w:beforeAutospacing="1" w:after="120" w:line="264" w:lineRule="auto"/>
        <w:rPr>
          <w:rFonts w:ascii="Calibri" w:eastAsiaTheme="minorEastAsia" w:hAnsi="Calibri" w:cs="Calibri"/>
          <w:i/>
          <w:sz w:val="22"/>
        </w:rPr>
      </w:pPr>
    </w:p>
    <w:sectPr w:rsidR="00AF1D9E" w:rsidRPr="00D02D3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76A28" w14:textId="77777777" w:rsidR="00E616F7" w:rsidRDefault="00E616F7">
      <w:r>
        <w:separator/>
      </w:r>
    </w:p>
  </w:endnote>
  <w:endnote w:type="continuationSeparator" w:id="0">
    <w:p w14:paraId="681C769C" w14:textId="77777777" w:rsidR="00E616F7" w:rsidRDefault="00E6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4E191B" w:rsidRDefault="004E191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4E191B" w:rsidRDefault="004E191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4E191B" w:rsidRDefault="004E191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C2317">
      <w:rPr>
        <w:rStyle w:val="a8"/>
        <w:noProof/>
      </w:rPr>
      <w:t>2</w:t>
    </w:r>
    <w:r>
      <w:rPr>
        <w:rStyle w:val="a8"/>
      </w:rPr>
      <w:fldChar w:fldCharType="end"/>
    </w:r>
  </w:p>
  <w:p w14:paraId="04B2A96B" w14:textId="77777777" w:rsidR="004E191B" w:rsidRDefault="004E191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A73F7" w14:textId="77777777" w:rsidR="00E616F7" w:rsidRDefault="00E616F7">
      <w:r>
        <w:separator/>
      </w:r>
    </w:p>
  </w:footnote>
  <w:footnote w:type="continuationSeparator" w:id="0">
    <w:p w14:paraId="569681CC" w14:textId="77777777" w:rsidR="00E616F7" w:rsidRDefault="00E616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254E4"/>
    <w:multiLevelType w:val="multilevel"/>
    <w:tmpl w:val="ECF88D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6"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B7409"/>
    <w:multiLevelType w:val="multilevel"/>
    <w:tmpl w:val="8466A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D1082"/>
    <w:multiLevelType w:val="hybridMultilevel"/>
    <w:tmpl w:val="54CA2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9C0230"/>
    <w:multiLevelType w:val="hybridMultilevel"/>
    <w:tmpl w:val="1FA451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9FB3872"/>
    <w:multiLevelType w:val="hybridMultilevel"/>
    <w:tmpl w:val="64242B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E1E54D9"/>
    <w:multiLevelType w:val="multilevel"/>
    <w:tmpl w:val="C4A216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23"/>
  </w:num>
  <w:num w:numId="4">
    <w:abstractNumId w:val="35"/>
  </w:num>
  <w:num w:numId="5">
    <w:abstractNumId w:val="37"/>
  </w:num>
  <w:num w:numId="6">
    <w:abstractNumId w:val="15"/>
  </w:num>
  <w:num w:numId="7">
    <w:abstractNumId w:val="25"/>
  </w:num>
  <w:num w:numId="8">
    <w:abstractNumId w:val="12"/>
  </w:num>
  <w:num w:numId="9">
    <w:abstractNumId w:val="13"/>
  </w:num>
  <w:num w:numId="10">
    <w:abstractNumId w:val="5"/>
  </w:num>
  <w:num w:numId="11">
    <w:abstractNumId w:val="28"/>
  </w:num>
  <w:num w:numId="12">
    <w:abstractNumId w:val="33"/>
  </w:num>
  <w:num w:numId="13">
    <w:abstractNumId w:val="34"/>
  </w:num>
  <w:num w:numId="14">
    <w:abstractNumId w:val="36"/>
  </w:num>
  <w:num w:numId="15">
    <w:abstractNumId w:val="20"/>
  </w:num>
  <w:num w:numId="16">
    <w:abstractNumId w:val="6"/>
  </w:num>
  <w:num w:numId="17">
    <w:abstractNumId w:val="27"/>
  </w:num>
  <w:num w:numId="18">
    <w:abstractNumId w:val="26"/>
  </w:num>
  <w:num w:numId="19">
    <w:abstractNumId w:val="22"/>
  </w:num>
  <w:num w:numId="20">
    <w:abstractNumId w:val="8"/>
  </w:num>
  <w:num w:numId="21">
    <w:abstractNumId w:val="0"/>
  </w:num>
  <w:num w:numId="22">
    <w:abstractNumId w:val="16"/>
  </w:num>
  <w:num w:numId="23">
    <w:abstractNumId w:val="18"/>
  </w:num>
  <w:num w:numId="24">
    <w:abstractNumId w:val="24"/>
  </w:num>
  <w:num w:numId="25">
    <w:abstractNumId w:val="19"/>
  </w:num>
  <w:num w:numId="26">
    <w:abstractNumId w:val="30"/>
  </w:num>
  <w:num w:numId="27">
    <w:abstractNumId w:val="32"/>
  </w:num>
  <w:num w:numId="28">
    <w:abstractNumId w:val="2"/>
  </w:num>
  <w:num w:numId="29">
    <w:abstractNumId w:val="11"/>
  </w:num>
  <w:num w:numId="30">
    <w:abstractNumId w:val="3"/>
  </w:num>
  <w:num w:numId="31">
    <w:abstractNumId w:val="29"/>
  </w:num>
  <w:num w:numId="32">
    <w:abstractNumId w:val="14"/>
  </w:num>
  <w:num w:numId="33">
    <w:abstractNumId w:val="17"/>
  </w:num>
  <w:num w:numId="34">
    <w:abstractNumId w:val="1"/>
  </w:num>
  <w:num w:numId="35">
    <w:abstractNumId w:val="21"/>
  </w:num>
  <w:num w:numId="36">
    <w:abstractNumId w:val="9"/>
  </w:num>
  <w:num w:numId="37">
    <w:abstractNumId w:val="31"/>
  </w:num>
  <w:num w:numId="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05F"/>
    <w:rsid w:val="0002413F"/>
    <w:rsid w:val="000246F3"/>
    <w:rsid w:val="00025124"/>
    <w:rsid w:val="00025449"/>
    <w:rsid w:val="0002587A"/>
    <w:rsid w:val="00025D9A"/>
    <w:rsid w:val="00025EF9"/>
    <w:rsid w:val="0002606E"/>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43C"/>
    <w:rsid w:val="000337CB"/>
    <w:rsid w:val="00034885"/>
    <w:rsid w:val="00034C47"/>
    <w:rsid w:val="00034F4A"/>
    <w:rsid w:val="0003500C"/>
    <w:rsid w:val="0003506B"/>
    <w:rsid w:val="00035512"/>
    <w:rsid w:val="000358DA"/>
    <w:rsid w:val="00035927"/>
    <w:rsid w:val="00035F3C"/>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D58"/>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2EB"/>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2CB"/>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507"/>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778"/>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5CF0"/>
    <w:rsid w:val="000F6048"/>
    <w:rsid w:val="000F62A9"/>
    <w:rsid w:val="000F63D8"/>
    <w:rsid w:val="000F6525"/>
    <w:rsid w:val="000F764B"/>
    <w:rsid w:val="000F7B1A"/>
    <w:rsid w:val="000F7B97"/>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44D"/>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3D3"/>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A96"/>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5CE"/>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772"/>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B62"/>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4D3"/>
    <w:rsid w:val="001B69D3"/>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22F"/>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8A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52"/>
    <w:rsid w:val="00234ABE"/>
    <w:rsid w:val="00234D3F"/>
    <w:rsid w:val="00234DA5"/>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1E2"/>
    <w:rsid w:val="0024331B"/>
    <w:rsid w:val="00243850"/>
    <w:rsid w:val="002438E4"/>
    <w:rsid w:val="00243CDC"/>
    <w:rsid w:val="00243EA2"/>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BAD"/>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C8F"/>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672"/>
    <w:rsid w:val="002A5B20"/>
    <w:rsid w:val="002A61B0"/>
    <w:rsid w:val="002A63D5"/>
    <w:rsid w:val="002A6613"/>
    <w:rsid w:val="002A6880"/>
    <w:rsid w:val="002A6A2D"/>
    <w:rsid w:val="002A72B2"/>
    <w:rsid w:val="002A73FE"/>
    <w:rsid w:val="002A7C48"/>
    <w:rsid w:val="002A7D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4C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D0A"/>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2F1E"/>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AD4"/>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2FCB"/>
    <w:rsid w:val="003531AC"/>
    <w:rsid w:val="0035370E"/>
    <w:rsid w:val="003538EB"/>
    <w:rsid w:val="0035398C"/>
    <w:rsid w:val="00353A71"/>
    <w:rsid w:val="003540E5"/>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937"/>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87C"/>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05"/>
    <w:rsid w:val="003D47EE"/>
    <w:rsid w:val="003D48F5"/>
    <w:rsid w:val="003D4DE6"/>
    <w:rsid w:val="003D5126"/>
    <w:rsid w:val="003D53BD"/>
    <w:rsid w:val="003D5DD0"/>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6F"/>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924"/>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C5"/>
    <w:rsid w:val="004543EF"/>
    <w:rsid w:val="004544DB"/>
    <w:rsid w:val="0045464F"/>
    <w:rsid w:val="004547C3"/>
    <w:rsid w:val="00454AA3"/>
    <w:rsid w:val="00454AF1"/>
    <w:rsid w:val="00454EC8"/>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0859"/>
    <w:rsid w:val="00491048"/>
    <w:rsid w:val="0049105C"/>
    <w:rsid w:val="00491C2D"/>
    <w:rsid w:val="00491DBE"/>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1824"/>
    <w:rsid w:val="004A1BBD"/>
    <w:rsid w:val="004A2124"/>
    <w:rsid w:val="004A21CB"/>
    <w:rsid w:val="004A22AA"/>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317"/>
    <w:rsid w:val="004C249A"/>
    <w:rsid w:val="004C286D"/>
    <w:rsid w:val="004C3263"/>
    <w:rsid w:val="004C3B23"/>
    <w:rsid w:val="004C3DDB"/>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91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63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45"/>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264"/>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AB6"/>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644"/>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71C"/>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0C8"/>
    <w:rsid w:val="005949FB"/>
    <w:rsid w:val="00595324"/>
    <w:rsid w:val="00595939"/>
    <w:rsid w:val="00595960"/>
    <w:rsid w:val="00595DFF"/>
    <w:rsid w:val="005963B9"/>
    <w:rsid w:val="005964B0"/>
    <w:rsid w:val="005965A0"/>
    <w:rsid w:val="00596699"/>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0A59"/>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6A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318"/>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5EF"/>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6CDD"/>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3F48"/>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1AD"/>
    <w:rsid w:val="007344D5"/>
    <w:rsid w:val="007349CB"/>
    <w:rsid w:val="00735128"/>
    <w:rsid w:val="00735525"/>
    <w:rsid w:val="007357D0"/>
    <w:rsid w:val="0073634A"/>
    <w:rsid w:val="007368BA"/>
    <w:rsid w:val="00736BE8"/>
    <w:rsid w:val="007370C3"/>
    <w:rsid w:val="007371B0"/>
    <w:rsid w:val="0073771E"/>
    <w:rsid w:val="007379E7"/>
    <w:rsid w:val="00737A79"/>
    <w:rsid w:val="00737C5A"/>
    <w:rsid w:val="00737DBB"/>
    <w:rsid w:val="00740335"/>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577"/>
    <w:rsid w:val="007906C9"/>
    <w:rsid w:val="007907A1"/>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6E27"/>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B30"/>
    <w:rsid w:val="007F2EE2"/>
    <w:rsid w:val="007F3469"/>
    <w:rsid w:val="007F3D88"/>
    <w:rsid w:val="007F447D"/>
    <w:rsid w:val="007F4708"/>
    <w:rsid w:val="007F4B4B"/>
    <w:rsid w:val="007F5210"/>
    <w:rsid w:val="007F540C"/>
    <w:rsid w:val="007F5890"/>
    <w:rsid w:val="007F59EF"/>
    <w:rsid w:val="007F645E"/>
    <w:rsid w:val="007F6925"/>
    <w:rsid w:val="007F6C46"/>
    <w:rsid w:val="007F70E5"/>
    <w:rsid w:val="007F716C"/>
    <w:rsid w:val="007F7271"/>
    <w:rsid w:val="007F7AA6"/>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165F"/>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3D1"/>
    <w:rsid w:val="008335E0"/>
    <w:rsid w:val="00833AC3"/>
    <w:rsid w:val="00833B9B"/>
    <w:rsid w:val="00833CEA"/>
    <w:rsid w:val="0083463C"/>
    <w:rsid w:val="008348B6"/>
    <w:rsid w:val="00834A06"/>
    <w:rsid w:val="00834BA0"/>
    <w:rsid w:val="00834EAD"/>
    <w:rsid w:val="0083526F"/>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D3"/>
    <w:rsid w:val="00855E65"/>
    <w:rsid w:val="008561F9"/>
    <w:rsid w:val="008564E6"/>
    <w:rsid w:val="00856A2C"/>
    <w:rsid w:val="00856B38"/>
    <w:rsid w:val="0085713A"/>
    <w:rsid w:val="00857441"/>
    <w:rsid w:val="00857A38"/>
    <w:rsid w:val="00857F48"/>
    <w:rsid w:val="008604BE"/>
    <w:rsid w:val="00860637"/>
    <w:rsid w:val="0086094D"/>
    <w:rsid w:val="00860C9F"/>
    <w:rsid w:val="00860CB6"/>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418"/>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2E83"/>
    <w:rsid w:val="008932E5"/>
    <w:rsid w:val="00893350"/>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7BB"/>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1C3"/>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28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6E9"/>
    <w:rsid w:val="008F6DAC"/>
    <w:rsid w:val="008F70BC"/>
    <w:rsid w:val="008F7BC4"/>
    <w:rsid w:val="008F7CD9"/>
    <w:rsid w:val="008F7ED1"/>
    <w:rsid w:val="009003E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14B"/>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59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A30"/>
    <w:rsid w:val="00973112"/>
    <w:rsid w:val="00973CD9"/>
    <w:rsid w:val="00973D59"/>
    <w:rsid w:val="00973F03"/>
    <w:rsid w:val="009749D9"/>
    <w:rsid w:val="00975634"/>
    <w:rsid w:val="00975944"/>
    <w:rsid w:val="00975DF6"/>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51D"/>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5D"/>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77"/>
    <w:rsid w:val="00A0338B"/>
    <w:rsid w:val="00A0375A"/>
    <w:rsid w:val="00A04E3C"/>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5A"/>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96A"/>
    <w:rsid w:val="00A23AD6"/>
    <w:rsid w:val="00A23F87"/>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6B"/>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191"/>
    <w:rsid w:val="00A372ED"/>
    <w:rsid w:val="00A37632"/>
    <w:rsid w:val="00A37D25"/>
    <w:rsid w:val="00A401C7"/>
    <w:rsid w:val="00A40237"/>
    <w:rsid w:val="00A40BFA"/>
    <w:rsid w:val="00A41193"/>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4C91"/>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75E"/>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1D9E"/>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0BB9"/>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D7B"/>
    <w:rsid w:val="00B44F2F"/>
    <w:rsid w:val="00B450BF"/>
    <w:rsid w:val="00B45BE0"/>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0A9"/>
    <w:rsid w:val="00B6548A"/>
    <w:rsid w:val="00B6578A"/>
    <w:rsid w:val="00B657E1"/>
    <w:rsid w:val="00B65815"/>
    <w:rsid w:val="00B6624C"/>
    <w:rsid w:val="00B6646E"/>
    <w:rsid w:val="00B66F2B"/>
    <w:rsid w:val="00B67C9F"/>
    <w:rsid w:val="00B703C0"/>
    <w:rsid w:val="00B70475"/>
    <w:rsid w:val="00B70B4A"/>
    <w:rsid w:val="00B70C79"/>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31BC"/>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6C2"/>
    <w:rsid w:val="00C31823"/>
    <w:rsid w:val="00C31BBA"/>
    <w:rsid w:val="00C31F09"/>
    <w:rsid w:val="00C321CA"/>
    <w:rsid w:val="00C322E7"/>
    <w:rsid w:val="00C3263E"/>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3D8"/>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0D9"/>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A36"/>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372"/>
    <w:rsid w:val="00CF17AD"/>
    <w:rsid w:val="00CF1B55"/>
    <w:rsid w:val="00CF20AD"/>
    <w:rsid w:val="00CF23FB"/>
    <w:rsid w:val="00CF29C0"/>
    <w:rsid w:val="00CF2EB4"/>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D37"/>
    <w:rsid w:val="00D02F43"/>
    <w:rsid w:val="00D03401"/>
    <w:rsid w:val="00D03542"/>
    <w:rsid w:val="00D03628"/>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5D0"/>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8E5"/>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8E"/>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70"/>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5F8D"/>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609"/>
    <w:rsid w:val="00DD7D29"/>
    <w:rsid w:val="00DD7EE8"/>
    <w:rsid w:val="00DE0122"/>
    <w:rsid w:val="00DE0301"/>
    <w:rsid w:val="00DE0CB4"/>
    <w:rsid w:val="00DE0F0C"/>
    <w:rsid w:val="00DE18FE"/>
    <w:rsid w:val="00DE1D21"/>
    <w:rsid w:val="00DE2640"/>
    <w:rsid w:val="00DE2A23"/>
    <w:rsid w:val="00DE2C91"/>
    <w:rsid w:val="00DE3105"/>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6F7"/>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E8B"/>
    <w:rsid w:val="00E70452"/>
    <w:rsid w:val="00E70608"/>
    <w:rsid w:val="00E70A80"/>
    <w:rsid w:val="00E70C2C"/>
    <w:rsid w:val="00E71038"/>
    <w:rsid w:val="00E71362"/>
    <w:rsid w:val="00E719E2"/>
    <w:rsid w:val="00E72A18"/>
    <w:rsid w:val="00E72B13"/>
    <w:rsid w:val="00E735F4"/>
    <w:rsid w:val="00E73F74"/>
    <w:rsid w:val="00E75091"/>
    <w:rsid w:val="00E75D02"/>
    <w:rsid w:val="00E76958"/>
    <w:rsid w:val="00E7763B"/>
    <w:rsid w:val="00E807B1"/>
    <w:rsid w:val="00E80B59"/>
    <w:rsid w:val="00E80D1C"/>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3AE"/>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AB7"/>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01B"/>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2AC3"/>
    <w:rsid w:val="00F132D7"/>
    <w:rsid w:val="00F13913"/>
    <w:rsid w:val="00F146E3"/>
    <w:rsid w:val="00F150D7"/>
    <w:rsid w:val="00F16399"/>
    <w:rsid w:val="00F1652C"/>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62E"/>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5E2"/>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5E3C"/>
    <w:rsid w:val="00F96067"/>
    <w:rsid w:val="00F9665A"/>
    <w:rsid w:val="00F96B3C"/>
    <w:rsid w:val="00F970E2"/>
    <w:rsid w:val="00F971E9"/>
    <w:rsid w:val="00F9752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651"/>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75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4B68"/>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26BB"/>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4,Memo,5,heading 4 + Indent: Left 0.5 in,标题3a,4th lev"/>
    <w:basedOn w:val="a0"/>
    <w:next w:val="a0"/>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
    <w:basedOn w:val="a0"/>
    <w:next w:val="a0"/>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qFormat/>
    <w:locked/>
    <w:rsid w:val="00192435"/>
    <w:rPr>
      <w:kern w:val="2"/>
      <w:sz w:val="22"/>
      <w:szCs w:val="24"/>
      <w:lang w:val="en-GB"/>
    </w:rPr>
  </w:style>
  <w:style w:type="character" w:styleId="af9">
    <w:name w:val="Placeholder Text"/>
    <w:basedOn w:val="a1"/>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23"/>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
    <w:basedOn w:val="a1"/>
    <w:link w:val="5"/>
    <w:rsid w:val="00E92C26"/>
    <w:rPr>
      <w:b/>
      <w:bCs/>
      <w:kern w:val="2"/>
      <w:sz w:val="24"/>
      <w:szCs w:val="24"/>
    </w:rPr>
  </w:style>
  <w:style w:type="paragraph" w:customStyle="1" w:styleId="EQ">
    <w:name w:val="EQ"/>
    <w:basedOn w:val="a0"/>
    <w:next w:val="a0"/>
    <w:uiPriority w:val="99"/>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31"/>
    <w:link w:val="B3Char"/>
    <w:rsid w:val="00384937"/>
    <w:pPr>
      <w:wordWrap/>
      <w:overflowPunct w:val="0"/>
      <w:adjustRightInd w:val="0"/>
      <w:spacing w:after="180"/>
      <w:ind w:leftChars="0" w:left="1135" w:firstLineChars="0" w:hanging="284"/>
      <w:contextualSpacing w:val="0"/>
      <w:jc w:val="left"/>
      <w:textAlignment w:val="baseline"/>
    </w:pPr>
    <w:rPr>
      <w:rFonts w:ascii="Times New Roman" w:eastAsia="Times New Roman" w:hAnsi="Times New Roman" w:cs="Times New Roman"/>
      <w:lang w:val="en-GB" w:eastAsia="en-GB"/>
    </w:rPr>
  </w:style>
  <w:style w:type="character" w:customStyle="1" w:styleId="B3Char">
    <w:name w:val="B3 Char"/>
    <w:link w:val="B3"/>
    <w:rsid w:val="00384937"/>
    <w:rPr>
      <w:rFonts w:eastAsia="Times New Roman"/>
      <w:lang w:val="en-GB" w:eastAsia="en-GB"/>
    </w:rPr>
  </w:style>
  <w:style w:type="character" w:customStyle="1" w:styleId="B2Char">
    <w:name w:val="B2 Char"/>
    <w:link w:val="B2"/>
    <w:locked/>
    <w:rsid w:val="00384937"/>
    <w:rPr>
      <w:rFonts w:eastAsia="맑은 고딕"/>
      <w:lang w:val="en-GB" w:eastAsia="en-US"/>
    </w:rPr>
  </w:style>
  <w:style w:type="paragraph" w:styleId="31">
    <w:name w:val="List 3"/>
    <w:basedOn w:val="a0"/>
    <w:semiHidden/>
    <w:unhideWhenUsed/>
    <w:rsid w:val="00384937"/>
    <w:pPr>
      <w:ind w:leftChars="600" w:left="100" w:hangingChars="200" w:hanging="200"/>
      <w:contextualSpacing/>
    </w:pPr>
  </w:style>
  <w:style w:type="character" w:customStyle="1" w:styleId="B1Zchn">
    <w:name w:val="B1 Zchn"/>
    <w:qFormat/>
    <w:rsid w:val="005677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6333">
      <w:bodyDiv w:val="1"/>
      <w:marLeft w:val="0"/>
      <w:marRight w:val="0"/>
      <w:marTop w:val="0"/>
      <w:marBottom w:val="0"/>
      <w:divBdr>
        <w:top w:val="none" w:sz="0" w:space="0" w:color="auto"/>
        <w:left w:val="none" w:sz="0" w:space="0" w:color="auto"/>
        <w:bottom w:val="none" w:sz="0" w:space="0" w:color="auto"/>
        <w:right w:val="none" w:sz="0" w:space="0" w:color="auto"/>
      </w:divBdr>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297494742">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19781296">
      <w:bodyDiv w:val="1"/>
      <w:marLeft w:val="0"/>
      <w:marRight w:val="0"/>
      <w:marTop w:val="0"/>
      <w:marBottom w:val="0"/>
      <w:divBdr>
        <w:top w:val="none" w:sz="0" w:space="0" w:color="auto"/>
        <w:left w:val="none" w:sz="0" w:space="0" w:color="auto"/>
        <w:bottom w:val="none" w:sz="0" w:space="0" w:color="auto"/>
        <w:right w:val="none" w:sz="0" w:space="0" w:color="auto"/>
      </w:divBdr>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899241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4DDD2-B574-41FA-9343-6A418CC3C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1077</Words>
  <Characters>6145</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19</cp:revision>
  <cp:lastPrinted>2014-01-26T05:26:00Z</cp:lastPrinted>
  <dcterms:created xsi:type="dcterms:W3CDTF">2020-04-10T13:05:00Z</dcterms:created>
  <dcterms:modified xsi:type="dcterms:W3CDTF">2020-05-14T10:19:00Z</dcterms:modified>
</cp:coreProperties>
</file>